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AC35D" w14:textId="77777777" w:rsidR="00010859" w:rsidRDefault="00010859" w:rsidP="00010859">
      <w:pPr>
        <w:ind w:right="16"/>
        <w:jc w:val="center"/>
        <w:rPr>
          <w:rFonts w:ascii="Times New Roman" w:eastAsia="Times New Roman" w:hAnsi="Times New Roman" w:cs="Times New Roman"/>
          <w:b/>
          <w:sz w:val="24"/>
          <w:szCs w:val="24"/>
        </w:rPr>
      </w:pPr>
    </w:p>
    <w:p w14:paraId="65358FD7" w14:textId="77777777" w:rsidR="00010859" w:rsidRDefault="00010859" w:rsidP="00010859">
      <w:pPr>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Terms of Reference</w:t>
      </w:r>
    </w:p>
    <w:p w14:paraId="52DC08C4" w14:textId="77777777" w:rsidR="00010859" w:rsidRDefault="00010859" w:rsidP="00010859">
      <w:pPr>
        <w:rPr>
          <w:rFonts w:ascii="Times New Roman" w:eastAsia="Times New Roman" w:hAnsi="Times New Roman" w:cs="Times New Roman"/>
          <w:sz w:val="24"/>
          <w:szCs w:val="24"/>
        </w:rPr>
      </w:pPr>
    </w:p>
    <w:p w14:paraId="58825D77" w14:textId="1285B228" w:rsidR="00104E2B" w:rsidRPr="00D557E2" w:rsidRDefault="00DE5DA9" w:rsidP="00104E2B">
      <w:pPr>
        <w:ind w:right="-3"/>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SOCIAL </w:t>
      </w:r>
      <w:r w:rsidR="003E68DA">
        <w:rPr>
          <w:rFonts w:ascii="Times New Roman" w:eastAsia="Times New Roman" w:hAnsi="Times New Roman" w:cs="Times New Roman"/>
          <w:b/>
          <w:sz w:val="22"/>
          <w:szCs w:val="22"/>
        </w:rPr>
        <w:t xml:space="preserve">SAFEGUARD SPECIALIST </w:t>
      </w:r>
      <w:r w:rsidR="00104E2B">
        <w:rPr>
          <w:rFonts w:ascii="Times New Roman" w:eastAsia="Times New Roman" w:hAnsi="Times New Roman" w:cs="Times New Roman"/>
          <w:b/>
          <w:sz w:val="22"/>
          <w:szCs w:val="22"/>
        </w:rPr>
        <w:t>(PCU)</w:t>
      </w:r>
    </w:p>
    <w:p w14:paraId="36D0314E" w14:textId="77777777" w:rsidR="00010859" w:rsidRDefault="00010859" w:rsidP="00010859">
      <w:pPr>
        <w:jc w:val="center"/>
        <w:rPr>
          <w:rFonts w:ascii="Times New Roman" w:eastAsia="Times New Roman" w:hAnsi="Times New Roman" w:cs="Times New Roman"/>
          <w:sz w:val="24"/>
          <w:szCs w:val="24"/>
        </w:rPr>
      </w:pPr>
    </w:p>
    <w:p w14:paraId="6C005EAA" w14:textId="77777777" w:rsidR="00010859" w:rsidRDefault="00010859" w:rsidP="00010859">
      <w:pPr>
        <w:jc w:val="center"/>
        <w:rPr>
          <w:rFonts w:ascii="Times New Roman" w:eastAsia="Times New Roman" w:hAnsi="Times New Roman" w:cs="Times New Roman"/>
          <w:b/>
          <w:sz w:val="24"/>
          <w:szCs w:val="24"/>
        </w:rPr>
      </w:pPr>
      <w:r w:rsidRPr="004F478C">
        <w:rPr>
          <w:rFonts w:ascii="Times New Roman" w:eastAsia="Times New Roman" w:hAnsi="Times New Roman" w:cs="Times New Roman"/>
          <w:b/>
          <w:sz w:val="24"/>
          <w:szCs w:val="24"/>
        </w:rPr>
        <w:t>Turkey Resilient Landscape Integration Project (TULIP)</w:t>
      </w:r>
    </w:p>
    <w:p w14:paraId="653C9E16" w14:textId="77777777" w:rsidR="00010859" w:rsidRDefault="00010859" w:rsidP="0001085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4F478C">
        <w:rPr>
          <w:rFonts w:ascii="Times New Roman" w:eastAsia="Times New Roman" w:hAnsi="Times New Roman" w:cs="Times New Roman"/>
          <w:b/>
          <w:sz w:val="24"/>
          <w:szCs w:val="24"/>
        </w:rPr>
        <w:t>P172562</w:t>
      </w:r>
      <w:r>
        <w:rPr>
          <w:rFonts w:ascii="Times New Roman" w:eastAsia="Times New Roman" w:hAnsi="Times New Roman" w:cs="Times New Roman"/>
          <w:b/>
          <w:sz w:val="24"/>
          <w:szCs w:val="24"/>
        </w:rPr>
        <w:t>)</w:t>
      </w:r>
    </w:p>
    <w:p w14:paraId="6189956C" w14:textId="77777777" w:rsidR="00010859" w:rsidRDefault="00010859" w:rsidP="00B072C7">
      <w:pPr>
        <w:jc w:val="both"/>
        <w:rPr>
          <w:rFonts w:ascii="Times New Roman" w:eastAsia="Times New Roman" w:hAnsi="Times New Roman" w:cs="Times New Roman"/>
          <w:sz w:val="24"/>
          <w:szCs w:val="24"/>
        </w:rPr>
      </w:pPr>
    </w:p>
    <w:p w14:paraId="76362B7E" w14:textId="77777777" w:rsidR="00010859" w:rsidRPr="00C323CA" w:rsidRDefault="00010859" w:rsidP="00B072C7">
      <w:pPr>
        <w:pStyle w:val="ListeParagraf"/>
        <w:numPr>
          <w:ilvl w:val="0"/>
          <w:numId w:val="8"/>
        </w:numPr>
        <w:jc w:val="both"/>
        <w:rPr>
          <w:rFonts w:ascii="Times New Roman" w:eastAsia="Times New Roman" w:hAnsi="Times New Roman" w:cs="Times New Roman"/>
          <w:b/>
          <w:sz w:val="24"/>
          <w:szCs w:val="24"/>
        </w:rPr>
      </w:pPr>
      <w:r w:rsidRPr="00C323CA">
        <w:rPr>
          <w:rFonts w:ascii="Times New Roman" w:eastAsia="Times New Roman" w:hAnsi="Times New Roman" w:cs="Times New Roman"/>
          <w:b/>
          <w:sz w:val="24"/>
          <w:szCs w:val="24"/>
        </w:rPr>
        <w:t>Background</w:t>
      </w:r>
    </w:p>
    <w:p w14:paraId="172F8A1F" w14:textId="77777777" w:rsidR="00010859" w:rsidRDefault="00010859" w:rsidP="00B072C7">
      <w:pPr>
        <w:jc w:val="both"/>
        <w:rPr>
          <w:rFonts w:ascii="Times New Roman" w:eastAsia="Times New Roman" w:hAnsi="Times New Roman" w:cs="Times New Roman"/>
          <w:sz w:val="22"/>
          <w:szCs w:val="22"/>
        </w:rPr>
      </w:pPr>
    </w:p>
    <w:p w14:paraId="62FDE695" w14:textId="68A8CF03" w:rsidR="00137832" w:rsidRDefault="00137832" w:rsidP="0013783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Turkey has made progress in addressing a range of environmental issues, but rapid population growth, urbanization, and industrialization continue to take a heavy toll on the country’s natural resource base and the environment</w:t>
      </w:r>
      <w:r w:rsidR="0055474C">
        <w:rPr>
          <w:rFonts w:ascii="Times New Roman" w:eastAsia="Times New Roman" w:hAnsi="Times New Roman" w:cs="Times New Roman"/>
          <w:sz w:val="22"/>
          <w:szCs w:val="22"/>
        </w:rPr>
        <w:t xml:space="preserve"> such as;</w:t>
      </w:r>
      <w:r>
        <w:rPr>
          <w:rFonts w:ascii="Times New Roman" w:eastAsia="Times New Roman" w:hAnsi="Times New Roman" w:cs="Times New Roman"/>
          <w:sz w:val="22"/>
          <w:szCs w:val="22"/>
        </w:rPr>
        <w:t xml:space="preserve"> </w:t>
      </w:r>
    </w:p>
    <w:p w14:paraId="4183DB4A" w14:textId="77777777" w:rsidR="00137832" w:rsidRDefault="00137832" w:rsidP="00137832">
      <w:pPr>
        <w:jc w:val="both"/>
        <w:rPr>
          <w:rFonts w:ascii="Times New Roman" w:eastAsia="Times New Roman" w:hAnsi="Times New Roman" w:cs="Times New Roman"/>
          <w:sz w:val="22"/>
          <w:szCs w:val="22"/>
        </w:rPr>
      </w:pPr>
    </w:p>
    <w:p w14:paraId="7A8074B4" w14:textId="77777777" w:rsidR="00137832" w:rsidRDefault="00137832" w:rsidP="00137832">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sz w:val="22"/>
          <w:szCs w:val="22"/>
        </w:rPr>
        <w:tab/>
        <w:t>Soil erosion, land degradation, and desertification are among the most severe environmental problems in Turkey. The combination of geographic, topographic, climatic, and soil characteristics makes Turkey particularly prone to soil erosion. Combined with human factors such as unsuitable farming practices, especially in sloping agricultural lands, soil erosion is observed at vast scales, affecting about 86%  of Turkey’s territory and putting most of the country under risk of desertification.  Degradation of forest, agricultural, and pasture lands also contribute to land degradation and desertification in Turkey.</w:t>
      </w:r>
    </w:p>
    <w:p w14:paraId="2D0A20E4" w14:textId="77777777" w:rsidR="00137832" w:rsidRDefault="00137832" w:rsidP="00137832">
      <w:pPr>
        <w:ind w:left="720"/>
        <w:jc w:val="both"/>
        <w:rPr>
          <w:rFonts w:ascii="Times New Roman" w:eastAsia="Times New Roman" w:hAnsi="Times New Roman" w:cs="Times New Roman"/>
          <w:sz w:val="22"/>
          <w:szCs w:val="22"/>
        </w:rPr>
      </w:pPr>
    </w:p>
    <w:p w14:paraId="789C9C46" w14:textId="77777777" w:rsidR="00137832" w:rsidRDefault="00137832" w:rsidP="00137832">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t xml:space="preserve">Turkey has undertaken considerable afforestation efforts for erosion control, adding a total of 2.14 million hectares of forest land since 1973. Despite this significant increase in forest cover, about 43% of Turkey’s 22.34 million hectares of forests are classified as degraded and in need of rehabilitation.  Turkey has also increased the coverage of its Protected Areas (PAs). However, significant portions of steppes and wetlands are also seriously degraded, and biodiversity is increasingly under threat due to habitat loss and fragmentation, pollution, climate change, and invasive species. </w:t>
      </w:r>
    </w:p>
    <w:p w14:paraId="2B241447" w14:textId="77777777" w:rsidR="00137832" w:rsidRDefault="00137832" w:rsidP="00137832">
      <w:pPr>
        <w:ind w:left="720"/>
        <w:jc w:val="both"/>
        <w:rPr>
          <w:rFonts w:ascii="Times New Roman" w:eastAsia="Times New Roman" w:hAnsi="Times New Roman" w:cs="Times New Roman"/>
          <w:sz w:val="22"/>
          <w:szCs w:val="22"/>
        </w:rPr>
      </w:pPr>
    </w:p>
    <w:p w14:paraId="222AC289" w14:textId="77777777" w:rsidR="00137832" w:rsidRDefault="00137832" w:rsidP="00137832">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t>Water quality and scarcity are also of grave concern, as they affect water resources available for human consumption and economic uses. Turkey is currently considered a water-stressed country with per capita freshwater availability only half of the global average by international standards. At least 15 of its 25 river basins are water-stressed, with water availability below 1,700 m3 per year. Of these, two basins face absolute water scarcity (less than 500 m3 annually), six face water scarcity (less than 1000 m3), and seven face water stress (less than 1,700 m3).</w:t>
      </w:r>
    </w:p>
    <w:p w14:paraId="5D75B3F8" w14:textId="77777777" w:rsidR="00137832" w:rsidRDefault="00137832" w:rsidP="00137832">
      <w:pPr>
        <w:jc w:val="both"/>
        <w:rPr>
          <w:rFonts w:ascii="Times New Roman" w:eastAsia="Times New Roman" w:hAnsi="Times New Roman" w:cs="Times New Roman"/>
          <w:sz w:val="22"/>
          <w:szCs w:val="22"/>
        </w:rPr>
      </w:pPr>
    </w:p>
    <w:p w14:paraId="078625C3" w14:textId="77777777" w:rsidR="00137832" w:rsidRDefault="00137832" w:rsidP="0013783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Turkey is also vulnerable to a range of natural disasters that cost the country approximately US$1,554 million in asset losses annually. Seismic risk is the most critical, as the country experiences, on average, one earthquake per year with a magnitude of 5–6 on the Richter scale. Floods and landslides are the second and third most frequent and disastrous natural hazards, accounting for more than 25% and almost 8% of total natural disasters in the country respectively. </w:t>
      </w:r>
    </w:p>
    <w:p w14:paraId="40635633" w14:textId="77777777" w:rsidR="00137832" w:rsidRDefault="00137832" w:rsidP="00137832">
      <w:pPr>
        <w:jc w:val="both"/>
        <w:rPr>
          <w:rFonts w:ascii="Times New Roman" w:eastAsia="Times New Roman" w:hAnsi="Times New Roman" w:cs="Times New Roman"/>
          <w:sz w:val="22"/>
          <w:szCs w:val="22"/>
        </w:rPr>
      </w:pPr>
    </w:p>
    <w:p w14:paraId="3DEEAA62" w14:textId="77777777" w:rsidR="00137832" w:rsidRDefault="00137832" w:rsidP="0013783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Climate change is expected to further aggravate the pressure on the natural resource base of Turkey and pose severe risks to the welfare and livelihood security for rural populations. The country is already experiencing an increase in annual mean temperature and changes in the precipitation regime. </w:t>
      </w:r>
    </w:p>
    <w:p w14:paraId="080B52DD" w14:textId="77777777" w:rsidR="00137832" w:rsidRDefault="00137832" w:rsidP="00137832">
      <w:pPr>
        <w:jc w:val="both"/>
        <w:rPr>
          <w:rFonts w:ascii="Times New Roman" w:eastAsia="Times New Roman" w:hAnsi="Times New Roman" w:cs="Times New Roman"/>
          <w:sz w:val="22"/>
          <w:szCs w:val="22"/>
        </w:rPr>
      </w:pPr>
    </w:p>
    <w:p w14:paraId="357692EC" w14:textId="77777777" w:rsidR="00137832" w:rsidRDefault="00137832" w:rsidP="0013783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proposed project will develop and implement an integrated landscape management approach in a number selected sub-basins, which are characterized by a combination of challenges commonly faced by many lagging rural areas in Turkey’s river basins. The Bolaman River Basin (BRB), located in the Eastern Black Sea (EBS) region, and Cekerek River Basin (CRB), located in the Central Anatolia Region (CAR), both face a complex set of problems. These include low socio-economic status and high rates of poverty among rural communities, particularly among forest villages in the upper basins, low agricultural productivity and degradation of natural resources, vulnerability to and frequent impacts from climate and </w:t>
      </w:r>
      <w:r>
        <w:rPr>
          <w:rFonts w:ascii="Times New Roman" w:eastAsia="Times New Roman" w:hAnsi="Times New Roman" w:cs="Times New Roman"/>
          <w:sz w:val="22"/>
          <w:szCs w:val="22"/>
        </w:rPr>
        <w:lastRenderedPageBreak/>
        <w:t>disaster risks, inadequate infrastructure (i.e., for water storage and treatment and irrigation) and connectivity, and loss of human capital over the years due to massive outward migration. Both basins are particularly vulnerable to the impacts of climate change, including floods, droughts and seasonal droughts, erosion, and landslides triggered by heavy precipitation events.</w:t>
      </w:r>
    </w:p>
    <w:p w14:paraId="349226A9" w14:textId="3BE1BF4A" w:rsidR="00010859" w:rsidRPr="00D557E2" w:rsidRDefault="00010859" w:rsidP="00FF5266">
      <w:pPr>
        <w:jc w:val="both"/>
        <w:rPr>
          <w:rFonts w:ascii="Times New Roman" w:eastAsia="Times New Roman" w:hAnsi="Times New Roman" w:cs="Times New Roman"/>
          <w:sz w:val="22"/>
          <w:szCs w:val="22"/>
        </w:rPr>
      </w:pPr>
    </w:p>
    <w:p w14:paraId="65E1E0EF" w14:textId="77777777" w:rsidR="00010859" w:rsidRPr="00D557E2" w:rsidRDefault="00010859" w:rsidP="00B072C7">
      <w:pPr>
        <w:jc w:val="both"/>
        <w:rPr>
          <w:rFonts w:ascii="Times New Roman" w:eastAsia="Times New Roman" w:hAnsi="Times New Roman" w:cs="Times New Roman"/>
          <w:sz w:val="22"/>
          <w:szCs w:val="22"/>
        </w:rPr>
      </w:pPr>
    </w:p>
    <w:p w14:paraId="48E0442A" w14:textId="77777777" w:rsidR="00010859" w:rsidRPr="003F5F1B" w:rsidRDefault="00010859" w:rsidP="00B072C7">
      <w:pPr>
        <w:pStyle w:val="ListeParagraf"/>
        <w:numPr>
          <w:ilvl w:val="0"/>
          <w:numId w:val="8"/>
        </w:numPr>
        <w:jc w:val="both"/>
        <w:rPr>
          <w:rFonts w:ascii="Times New Roman" w:eastAsia="Times New Roman" w:hAnsi="Times New Roman" w:cs="Times New Roman"/>
          <w:b/>
          <w:bCs/>
          <w:sz w:val="24"/>
          <w:szCs w:val="24"/>
        </w:rPr>
      </w:pPr>
      <w:r w:rsidRPr="003F5F1B">
        <w:rPr>
          <w:rFonts w:ascii="Times New Roman" w:eastAsia="Times New Roman" w:hAnsi="Times New Roman" w:cs="Times New Roman"/>
          <w:b/>
          <w:bCs/>
          <w:sz w:val="24"/>
          <w:szCs w:val="24"/>
        </w:rPr>
        <w:t xml:space="preserve">Project </w:t>
      </w:r>
      <w:r>
        <w:rPr>
          <w:rFonts w:ascii="Times New Roman" w:eastAsia="Times New Roman" w:hAnsi="Times New Roman" w:cs="Times New Roman"/>
          <w:b/>
          <w:bCs/>
          <w:sz w:val="24"/>
          <w:szCs w:val="24"/>
        </w:rPr>
        <w:t>Description</w:t>
      </w:r>
    </w:p>
    <w:p w14:paraId="5EA3DF64" w14:textId="77777777" w:rsidR="00010859" w:rsidRPr="00D557E2" w:rsidRDefault="00010859" w:rsidP="00B072C7">
      <w:pPr>
        <w:jc w:val="both"/>
        <w:rPr>
          <w:rFonts w:ascii="Times New Roman" w:eastAsia="Times New Roman" w:hAnsi="Times New Roman" w:cs="Times New Roman"/>
          <w:sz w:val="22"/>
          <w:szCs w:val="22"/>
        </w:rPr>
      </w:pPr>
    </w:p>
    <w:p w14:paraId="4FBDDAE4" w14:textId="167C6059" w:rsidR="00010859" w:rsidRDefault="00010859" w:rsidP="00B072C7">
      <w:pPr>
        <w:jc w:val="both"/>
        <w:rPr>
          <w:rFonts w:ascii="Times New Roman" w:eastAsia="Times New Roman" w:hAnsi="Times New Roman" w:cs="Times New Roman"/>
          <w:sz w:val="22"/>
          <w:szCs w:val="22"/>
        </w:rPr>
      </w:pPr>
      <w:r w:rsidRPr="00C323CA">
        <w:rPr>
          <w:rFonts w:ascii="Times New Roman" w:eastAsia="Times New Roman" w:hAnsi="Times New Roman" w:cs="Times New Roman"/>
          <w:sz w:val="22"/>
          <w:szCs w:val="22"/>
        </w:rPr>
        <w:t xml:space="preserve">The </w:t>
      </w:r>
      <w:r w:rsidR="00920FAD">
        <w:rPr>
          <w:rFonts w:ascii="Times New Roman" w:eastAsia="Times New Roman" w:hAnsi="Times New Roman" w:cs="Times New Roman"/>
          <w:sz w:val="22"/>
          <w:szCs w:val="22"/>
        </w:rPr>
        <w:t>Government of Turkey (GT)is implementing</w:t>
      </w:r>
      <w:r w:rsidRPr="00C323CA">
        <w:rPr>
          <w:rFonts w:ascii="Times New Roman" w:eastAsia="Times New Roman" w:hAnsi="Times New Roman" w:cs="Times New Roman"/>
          <w:sz w:val="22"/>
          <w:szCs w:val="22"/>
        </w:rPr>
        <w:t xml:space="preserve"> the Turkey Resilient Landscape Integration Project (TULIP)</w:t>
      </w:r>
      <w:r w:rsidR="00920FAD">
        <w:rPr>
          <w:rFonts w:ascii="Times New Roman" w:eastAsia="Times New Roman" w:hAnsi="Times New Roman" w:cs="Times New Roman"/>
          <w:sz w:val="22"/>
          <w:szCs w:val="22"/>
        </w:rPr>
        <w:t>, which is financed through a loan with the World Bank</w:t>
      </w:r>
      <w:r w:rsidRPr="00C323CA">
        <w:rPr>
          <w:rFonts w:ascii="Times New Roman" w:eastAsia="Times New Roman" w:hAnsi="Times New Roman" w:cs="Times New Roman"/>
          <w:sz w:val="22"/>
          <w:szCs w:val="22"/>
        </w:rPr>
        <w:t xml:space="preserve">. The objective of the project is to strengthen integrated landscape management and increase access to improved livelihood opportunities and resilient infrastructure services for rural communities in </w:t>
      </w:r>
      <w:r w:rsidR="003440C9">
        <w:rPr>
          <w:rFonts w:ascii="Times New Roman" w:eastAsia="Times New Roman" w:hAnsi="Times New Roman" w:cs="Times New Roman"/>
          <w:sz w:val="22"/>
          <w:szCs w:val="22"/>
        </w:rPr>
        <w:t>the Bolaman and Cekerek basins</w:t>
      </w:r>
      <w:r w:rsidR="005E70E2">
        <w:rPr>
          <w:rFonts w:ascii="Times New Roman" w:eastAsia="Times New Roman" w:hAnsi="Times New Roman" w:cs="Times New Roman"/>
          <w:sz w:val="22"/>
          <w:szCs w:val="22"/>
        </w:rPr>
        <w:t>, located in</w:t>
      </w:r>
      <w:r w:rsidR="00D349BD" w:rsidRPr="00D349BD">
        <w:t xml:space="preserve"> </w:t>
      </w:r>
      <w:r w:rsidR="00D349BD" w:rsidRPr="00D349BD">
        <w:rPr>
          <w:rFonts w:ascii="Times New Roman" w:eastAsia="Times New Roman" w:hAnsi="Times New Roman" w:cs="Times New Roman"/>
          <w:sz w:val="22"/>
          <w:szCs w:val="22"/>
        </w:rPr>
        <w:t xml:space="preserve">Eastern Black Sea </w:t>
      </w:r>
      <w:r w:rsidR="00D349BD">
        <w:rPr>
          <w:rFonts w:ascii="Times New Roman" w:eastAsia="Times New Roman" w:hAnsi="Times New Roman" w:cs="Times New Roman"/>
          <w:sz w:val="22"/>
          <w:szCs w:val="22"/>
        </w:rPr>
        <w:t xml:space="preserve">and </w:t>
      </w:r>
      <w:r w:rsidR="00F94FE2">
        <w:rPr>
          <w:rFonts w:ascii="Times New Roman" w:eastAsia="Times New Roman" w:hAnsi="Times New Roman" w:cs="Times New Roman"/>
          <w:sz w:val="22"/>
          <w:szCs w:val="22"/>
        </w:rPr>
        <w:t>Central Anatolia accordingly</w:t>
      </w:r>
      <w:r w:rsidRPr="00C323CA">
        <w:rPr>
          <w:rFonts w:ascii="Times New Roman" w:eastAsia="Times New Roman" w:hAnsi="Times New Roman" w:cs="Times New Roman"/>
          <w:sz w:val="22"/>
          <w:szCs w:val="22"/>
        </w:rPr>
        <w:t xml:space="preserve">. </w:t>
      </w:r>
    </w:p>
    <w:p w14:paraId="41833552" w14:textId="77777777" w:rsidR="00010859" w:rsidRPr="00C323CA" w:rsidRDefault="00010859" w:rsidP="00B072C7">
      <w:pPr>
        <w:jc w:val="both"/>
        <w:rPr>
          <w:rFonts w:ascii="Times New Roman" w:eastAsia="Times New Roman" w:hAnsi="Times New Roman" w:cs="Times New Roman"/>
          <w:sz w:val="22"/>
          <w:szCs w:val="22"/>
        </w:rPr>
      </w:pPr>
    </w:p>
    <w:p w14:paraId="61A1521E" w14:textId="108A4EAE" w:rsidR="00010859" w:rsidRDefault="00010859" w:rsidP="00B072C7">
      <w:pPr>
        <w:jc w:val="both"/>
        <w:rPr>
          <w:rFonts w:ascii="Times New Roman" w:eastAsia="Times New Roman" w:hAnsi="Times New Roman" w:cs="Times New Roman"/>
          <w:sz w:val="22"/>
          <w:szCs w:val="22"/>
        </w:rPr>
      </w:pPr>
      <w:r w:rsidRPr="00C323CA">
        <w:rPr>
          <w:rFonts w:ascii="Times New Roman" w:eastAsia="Times New Roman" w:hAnsi="Times New Roman" w:cs="Times New Roman"/>
          <w:sz w:val="22"/>
          <w:szCs w:val="22"/>
        </w:rPr>
        <w:t xml:space="preserve">TULIP includes </w:t>
      </w:r>
      <w:r w:rsidR="00920FAD">
        <w:rPr>
          <w:rFonts w:ascii="Times New Roman" w:eastAsia="Times New Roman" w:hAnsi="Times New Roman" w:cs="Times New Roman"/>
          <w:sz w:val="22"/>
          <w:szCs w:val="22"/>
        </w:rPr>
        <w:t>a variety of investments</w:t>
      </w:r>
      <w:r w:rsidRPr="00C323CA">
        <w:rPr>
          <w:rFonts w:ascii="Times New Roman" w:eastAsia="Times New Roman" w:hAnsi="Times New Roman" w:cs="Times New Roman"/>
          <w:sz w:val="22"/>
          <w:szCs w:val="22"/>
        </w:rPr>
        <w:t xml:space="preserve"> to address challenges related to natural resource degradation, water insecurity, and vulnerabilities to climate and disaster risks that result in higher rural poverty and outward migration from the basins.</w:t>
      </w:r>
      <w:r w:rsidR="00920FAD">
        <w:rPr>
          <w:rFonts w:ascii="Times New Roman" w:eastAsia="Times New Roman" w:hAnsi="Times New Roman" w:cs="Times New Roman"/>
          <w:sz w:val="22"/>
          <w:szCs w:val="22"/>
        </w:rPr>
        <w:t xml:space="preserve"> </w:t>
      </w:r>
      <w:r w:rsidR="00825494">
        <w:rPr>
          <w:rFonts w:ascii="Times New Roman" w:eastAsia="Times New Roman" w:hAnsi="Times New Roman" w:cs="Times New Roman"/>
          <w:sz w:val="22"/>
          <w:szCs w:val="22"/>
        </w:rPr>
        <w:t xml:space="preserve">The Implementing Agencies of these investments are OGM (Lead Project Agency), TRGM, DSI, and KGM. </w:t>
      </w:r>
      <w:r w:rsidR="00FD3367">
        <w:rPr>
          <w:rFonts w:ascii="Times New Roman" w:eastAsia="Times New Roman" w:hAnsi="Times New Roman" w:cs="Times New Roman"/>
          <w:sz w:val="22"/>
          <w:szCs w:val="22"/>
        </w:rPr>
        <w:t xml:space="preserve">These investments are organized under two </w:t>
      </w:r>
      <w:r w:rsidR="008022F4">
        <w:rPr>
          <w:rFonts w:ascii="Times New Roman" w:eastAsia="Times New Roman" w:hAnsi="Times New Roman" w:cs="Times New Roman"/>
          <w:sz w:val="22"/>
          <w:szCs w:val="22"/>
        </w:rPr>
        <w:t>P</w:t>
      </w:r>
      <w:r w:rsidR="00FD3367">
        <w:rPr>
          <w:rFonts w:ascii="Times New Roman" w:eastAsia="Times New Roman" w:hAnsi="Times New Roman" w:cs="Times New Roman"/>
          <w:sz w:val="22"/>
          <w:szCs w:val="22"/>
        </w:rPr>
        <w:t>roject components described below</w:t>
      </w:r>
      <w:r w:rsidR="00825494">
        <w:rPr>
          <w:rFonts w:ascii="Times New Roman" w:eastAsia="Times New Roman" w:hAnsi="Times New Roman" w:cs="Times New Roman"/>
          <w:sz w:val="22"/>
          <w:szCs w:val="22"/>
        </w:rPr>
        <w:t>.</w:t>
      </w:r>
    </w:p>
    <w:p w14:paraId="04D8461C" w14:textId="77777777" w:rsidR="00010859" w:rsidRDefault="00010859" w:rsidP="00B072C7">
      <w:pPr>
        <w:jc w:val="both"/>
        <w:rPr>
          <w:rFonts w:ascii="Times New Roman" w:eastAsia="Times New Roman" w:hAnsi="Times New Roman" w:cs="Times New Roman"/>
          <w:sz w:val="22"/>
          <w:szCs w:val="22"/>
        </w:rPr>
      </w:pPr>
    </w:p>
    <w:tbl>
      <w:tblPr>
        <w:tblStyle w:val="TabloKlavuzu"/>
        <w:tblW w:w="0" w:type="auto"/>
        <w:tblLook w:val="04A0" w:firstRow="1" w:lastRow="0" w:firstColumn="1" w:lastColumn="0" w:noHBand="0" w:noVBand="1"/>
      </w:tblPr>
      <w:tblGrid>
        <w:gridCol w:w="4534"/>
        <w:gridCol w:w="4534"/>
      </w:tblGrid>
      <w:tr w:rsidR="00010859" w:rsidRPr="00D434A6" w14:paraId="5C047112" w14:textId="77777777" w:rsidTr="00A24255">
        <w:tc>
          <w:tcPr>
            <w:tcW w:w="4534" w:type="dxa"/>
          </w:tcPr>
          <w:p w14:paraId="78064149" w14:textId="77777777" w:rsidR="00010859" w:rsidRPr="00D434A6" w:rsidRDefault="00010859" w:rsidP="00B072C7">
            <w:pPr>
              <w:jc w:val="both"/>
              <w:rPr>
                <w:rFonts w:ascii="Times New Roman" w:eastAsia="Times New Roman" w:hAnsi="Times New Roman" w:cs="Times New Roman"/>
                <w:b/>
                <w:bCs/>
                <w:sz w:val="22"/>
                <w:szCs w:val="22"/>
              </w:rPr>
            </w:pPr>
            <w:r w:rsidRPr="00D434A6">
              <w:rPr>
                <w:rFonts w:ascii="Times New Roman" w:eastAsia="Times New Roman" w:hAnsi="Times New Roman" w:cs="Times New Roman"/>
                <w:b/>
                <w:bCs/>
                <w:sz w:val="22"/>
                <w:szCs w:val="22"/>
              </w:rPr>
              <w:t>Components</w:t>
            </w:r>
          </w:p>
        </w:tc>
        <w:tc>
          <w:tcPr>
            <w:tcW w:w="4534" w:type="dxa"/>
          </w:tcPr>
          <w:p w14:paraId="230398AA" w14:textId="77777777" w:rsidR="00010859" w:rsidRPr="00D434A6" w:rsidRDefault="00010859" w:rsidP="00B072C7">
            <w:pPr>
              <w:jc w:val="both"/>
              <w:rPr>
                <w:rFonts w:ascii="Times New Roman" w:eastAsia="Times New Roman" w:hAnsi="Times New Roman" w:cs="Times New Roman"/>
                <w:b/>
                <w:bCs/>
                <w:sz w:val="22"/>
                <w:szCs w:val="22"/>
              </w:rPr>
            </w:pPr>
            <w:r w:rsidRPr="00D434A6">
              <w:rPr>
                <w:rFonts w:ascii="Times New Roman" w:eastAsia="Times New Roman" w:hAnsi="Times New Roman" w:cs="Times New Roman"/>
                <w:b/>
                <w:bCs/>
                <w:sz w:val="22"/>
                <w:szCs w:val="22"/>
              </w:rPr>
              <w:t>Sub-components</w:t>
            </w:r>
          </w:p>
        </w:tc>
      </w:tr>
      <w:tr w:rsidR="00010859" w14:paraId="016B04FD" w14:textId="77777777" w:rsidTr="00A24255">
        <w:tc>
          <w:tcPr>
            <w:tcW w:w="4534" w:type="dxa"/>
          </w:tcPr>
          <w:p w14:paraId="3172AC09" w14:textId="77777777" w:rsidR="00010859" w:rsidRDefault="00010859" w:rsidP="00B072C7">
            <w:pPr>
              <w:jc w:val="both"/>
              <w:rPr>
                <w:rFonts w:ascii="Times New Roman" w:eastAsia="Times New Roman" w:hAnsi="Times New Roman" w:cs="Times New Roman"/>
                <w:sz w:val="22"/>
                <w:szCs w:val="22"/>
              </w:rPr>
            </w:pPr>
            <w:r w:rsidRPr="00C323CA">
              <w:rPr>
                <w:rFonts w:ascii="Times New Roman" w:eastAsia="Arial" w:hAnsi="Times New Roman" w:cs="Times New Roman"/>
                <w:b/>
                <w:kern w:val="18"/>
                <w:sz w:val="22"/>
                <w:szCs w:val="22"/>
                <w:lang w:val="en-GB" w:eastAsia="en-US"/>
              </w:rPr>
              <w:t>Component 1.</w:t>
            </w:r>
            <w:r w:rsidRPr="00C323CA">
              <w:rPr>
                <w:rFonts w:ascii="Times New Roman" w:eastAsia="Arial" w:hAnsi="Times New Roman" w:cs="Times New Roman"/>
                <w:kern w:val="18"/>
                <w:sz w:val="22"/>
                <w:szCs w:val="22"/>
                <w:lang w:val="en-GB" w:eastAsia="en-US"/>
              </w:rPr>
              <w:t xml:space="preserve"> Investments in Resilient Landscape Integration in </w:t>
            </w:r>
            <w:r>
              <w:rPr>
                <w:rFonts w:ascii="Times New Roman" w:eastAsia="Arial" w:hAnsi="Times New Roman" w:cs="Times New Roman"/>
                <w:kern w:val="18"/>
                <w:sz w:val="22"/>
                <w:szCs w:val="22"/>
                <w:lang w:val="en-GB" w:eastAsia="en-US"/>
              </w:rPr>
              <w:t>T</w:t>
            </w:r>
            <w:r w:rsidRPr="00C323CA">
              <w:rPr>
                <w:rFonts w:ascii="Times New Roman" w:eastAsia="Arial" w:hAnsi="Times New Roman" w:cs="Times New Roman"/>
                <w:kern w:val="18"/>
                <w:sz w:val="22"/>
                <w:szCs w:val="22"/>
                <w:lang w:val="en-GB" w:eastAsia="en-US"/>
              </w:rPr>
              <w:t xml:space="preserve">argeted </w:t>
            </w:r>
            <w:r>
              <w:rPr>
                <w:rFonts w:ascii="Times New Roman" w:eastAsia="Arial" w:hAnsi="Times New Roman" w:cs="Times New Roman"/>
                <w:kern w:val="18"/>
                <w:sz w:val="22"/>
                <w:szCs w:val="22"/>
                <w:lang w:val="en-GB" w:eastAsia="en-US"/>
              </w:rPr>
              <w:t>A</w:t>
            </w:r>
            <w:r w:rsidRPr="00C323CA">
              <w:rPr>
                <w:rFonts w:ascii="Times New Roman" w:eastAsia="Arial" w:hAnsi="Times New Roman" w:cs="Times New Roman"/>
                <w:kern w:val="18"/>
                <w:sz w:val="22"/>
                <w:szCs w:val="22"/>
                <w:lang w:val="en-GB" w:eastAsia="en-US"/>
              </w:rPr>
              <w:t>reas</w:t>
            </w:r>
          </w:p>
        </w:tc>
        <w:tc>
          <w:tcPr>
            <w:tcW w:w="4534" w:type="dxa"/>
          </w:tcPr>
          <w:p w14:paraId="173EAFB6" w14:textId="77777777" w:rsidR="00010859" w:rsidRPr="003F5F1B" w:rsidRDefault="00010859" w:rsidP="00B072C7">
            <w:pPr>
              <w:jc w:val="both"/>
              <w:rPr>
                <w:rFonts w:ascii="Times New Roman" w:eastAsia="Arial" w:hAnsi="Times New Roman" w:cs="Times New Roman"/>
                <w:kern w:val="18"/>
                <w:sz w:val="22"/>
                <w:szCs w:val="22"/>
                <w:lang w:val="en-GB" w:eastAsia="en-US"/>
              </w:rPr>
            </w:pPr>
            <w:r>
              <w:rPr>
                <w:rFonts w:ascii="Times New Roman" w:eastAsia="Arial" w:hAnsi="Times New Roman" w:cs="Times New Roman"/>
                <w:kern w:val="18"/>
                <w:sz w:val="22"/>
                <w:szCs w:val="22"/>
                <w:lang w:val="en-GB" w:eastAsia="en-US"/>
              </w:rPr>
              <w:t xml:space="preserve">1.1 </w:t>
            </w:r>
            <w:r w:rsidRPr="003F5F1B">
              <w:rPr>
                <w:rFonts w:ascii="Times New Roman" w:eastAsia="Arial" w:hAnsi="Times New Roman" w:cs="Times New Roman"/>
                <w:kern w:val="18"/>
                <w:sz w:val="22"/>
                <w:szCs w:val="22"/>
                <w:lang w:val="en-GB" w:eastAsia="en-US"/>
              </w:rPr>
              <w:t>Green infrastructure and sustainable livelihoods</w:t>
            </w:r>
          </w:p>
          <w:p w14:paraId="5AE795CF" w14:textId="77777777" w:rsidR="00010859" w:rsidRPr="003F5F1B" w:rsidRDefault="00010859" w:rsidP="00B072C7">
            <w:pPr>
              <w:jc w:val="both"/>
              <w:rPr>
                <w:rFonts w:ascii="Times New Roman" w:eastAsia="Arial" w:hAnsi="Times New Roman" w:cs="Times New Roman"/>
                <w:kern w:val="18"/>
                <w:sz w:val="22"/>
                <w:szCs w:val="22"/>
                <w:lang w:val="en-GB" w:eastAsia="en-US"/>
              </w:rPr>
            </w:pPr>
            <w:r>
              <w:rPr>
                <w:rFonts w:ascii="Times New Roman" w:eastAsia="Arial" w:hAnsi="Times New Roman" w:cs="Times New Roman"/>
                <w:kern w:val="18"/>
                <w:sz w:val="22"/>
                <w:szCs w:val="22"/>
                <w:lang w:val="en-GB" w:eastAsia="en-US"/>
              </w:rPr>
              <w:t xml:space="preserve">1.2 </w:t>
            </w:r>
            <w:r w:rsidRPr="00C323CA">
              <w:rPr>
                <w:rFonts w:ascii="Times New Roman" w:eastAsia="Arial" w:hAnsi="Times New Roman" w:cs="Times New Roman"/>
                <w:kern w:val="18"/>
                <w:sz w:val="22"/>
                <w:szCs w:val="22"/>
                <w:lang w:val="en-GB" w:eastAsia="en-US"/>
              </w:rPr>
              <w:t>Resilient grey infrastructure</w:t>
            </w:r>
          </w:p>
        </w:tc>
      </w:tr>
      <w:tr w:rsidR="00010859" w14:paraId="0324085D" w14:textId="77777777" w:rsidTr="00A24255">
        <w:tc>
          <w:tcPr>
            <w:tcW w:w="4534" w:type="dxa"/>
          </w:tcPr>
          <w:p w14:paraId="01AB08C6" w14:textId="77777777" w:rsidR="00010859" w:rsidRDefault="00010859" w:rsidP="00B072C7">
            <w:pPr>
              <w:jc w:val="both"/>
              <w:rPr>
                <w:rFonts w:ascii="Times New Roman" w:eastAsia="Times New Roman" w:hAnsi="Times New Roman" w:cs="Times New Roman"/>
                <w:sz w:val="22"/>
                <w:szCs w:val="22"/>
              </w:rPr>
            </w:pPr>
            <w:r w:rsidRPr="00C323CA">
              <w:rPr>
                <w:rFonts w:ascii="Times New Roman" w:eastAsia="Arial" w:hAnsi="Times New Roman" w:cs="Times New Roman"/>
                <w:b/>
                <w:kern w:val="18"/>
                <w:sz w:val="22"/>
                <w:szCs w:val="22"/>
                <w:lang w:val="en-GB" w:eastAsia="en-US"/>
              </w:rPr>
              <w:t>Component 2.</w:t>
            </w:r>
            <w:r w:rsidRPr="00C323CA">
              <w:rPr>
                <w:rFonts w:ascii="Times New Roman" w:eastAsia="Arial" w:hAnsi="Times New Roman" w:cs="Times New Roman"/>
                <w:kern w:val="18"/>
                <w:sz w:val="22"/>
                <w:szCs w:val="22"/>
                <w:lang w:val="en-GB" w:eastAsia="en-US"/>
              </w:rPr>
              <w:t xml:space="preserve"> Institutional Framework, Project Management, and Sustainability</w:t>
            </w:r>
          </w:p>
        </w:tc>
        <w:tc>
          <w:tcPr>
            <w:tcW w:w="4534" w:type="dxa"/>
          </w:tcPr>
          <w:p w14:paraId="197C4383" w14:textId="77777777" w:rsidR="00010859" w:rsidRDefault="00010859" w:rsidP="00B072C7">
            <w:pPr>
              <w:jc w:val="both"/>
              <w:rPr>
                <w:rFonts w:ascii="Times New Roman" w:eastAsia="Arial" w:hAnsi="Times New Roman" w:cs="Times New Roman"/>
                <w:kern w:val="18"/>
                <w:sz w:val="22"/>
                <w:szCs w:val="22"/>
                <w:lang w:val="en-GB" w:eastAsia="en-US"/>
              </w:rPr>
            </w:pPr>
            <w:r>
              <w:rPr>
                <w:rFonts w:ascii="Times New Roman" w:eastAsia="Arial" w:hAnsi="Times New Roman" w:cs="Times New Roman"/>
                <w:kern w:val="18"/>
                <w:sz w:val="22"/>
                <w:szCs w:val="22"/>
                <w:lang w:val="en-GB" w:eastAsia="en-US"/>
              </w:rPr>
              <w:t xml:space="preserve">2.1 </w:t>
            </w:r>
            <w:r w:rsidRPr="00C323CA">
              <w:rPr>
                <w:rFonts w:ascii="Times New Roman" w:eastAsia="Arial" w:hAnsi="Times New Roman" w:cs="Times New Roman"/>
                <w:kern w:val="18"/>
                <w:sz w:val="22"/>
                <w:szCs w:val="22"/>
                <w:lang w:val="en-GB" w:eastAsia="en-US"/>
              </w:rPr>
              <w:t>Implementation Framework for Integrated Landscape Management</w:t>
            </w:r>
          </w:p>
          <w:p w14:paraId="4F36C4AD" w14:textId="77777777" w:rsidR="00010859" w:rsidRDefault="00010859" w:rsidP="00B072C7">
            <w:pPr>
              <w:jc w:val="both"/>
              <w:rPr>
                <w:rFonts w:ascii="Times New Roman" w:eastAsia="Times New Roman" w:hAnsi="Times New Roman" w:cs="Times New Roman"/>
                <w:sz w:val="22"/>
                <w:szCs w:val="22"/>
              </w:rPr>
            </w:pPr>
            <w:r>
              <w:rPr>
                <w:rFonts w:ascii="Times New Roman" w:eastAsia="Arial" w:hAnsi="Times New Roman" w:cs="Times New Roman"/>
                <w:kern w:val="18"/>
                <w:sz w:val="22"/>
                <w:szCs w:val="22"/>
                <w:lang w:val="en-GB" w:eastAsia="en-US"/>
              </w:rPr>
              <w:t xml:space="preserve">2.2 </w:t>
            </w:r>
            <w:r w:rsidRPr="00C323CA">
              <w:rPr>
                <w:rFonts w:ascii="Times New Roman" w:eastAsia="Arial" w:hAnsi="Times New Roman" w:cs="Times New Roman"/>
                <w:kern w:val="18"/>
                <w:sz w:val="22"/>
                <w:szCs w:val="22"/>
                <w:lang w:val="en-GB" w:eastAsia="en-US"/>
              </w:rPr>
              <w:t>Project management and sustainability</w:t>
            </w:r>
          </w:p>
        </w:tc>
      </w:tr>
    </w:tbl>
    <w:p w14:paraId="18619BF9" w14:textId="77777777" w:rsidR="00010859" w:rsidRDefault="00010859" w:rsidP="00B072C7">
      <w:pPr>
        <w:jc w:val="both"/>
        <w:rPr>
          <w:rFonts w:ascii="Times New Roman" w:eastAsia="Times New Roman" w:hAnsi="Times New Roman" w:cs="Times New Roman"/>
          <w:sz w:val="22"/>
          <w:szCs w:val="22"/>
        </w:rPr>
      </w:pPr>
    </w:p>
    <w:p w14:paraId="73A95E2C" w14:textId="77777777" w:rsidR="00010859" w:rsidRDefault="00010859" w:rsidP="00B072C7">
      <w:pPr>
        <w:jc w:val="both"/>
        <w:rPr>
          <w:rFonts w:ascii="Times New Roman" w:eastAsia="Times New Roman" w:hAnsi="Times New Roman" w:cs="Times New Roman"/>
          <w:sz w:val="22"/>
          <w:szCs w:val="22"/>
        </w:rPr>
      </w:pPr>
    </w:p>
    <w:p w14:paraId="438EB01A" w14:textId="77777777" w:rsidR="00010859" w:rsidRDefault="00010859" w:rsidP="00B072C7">
      <w:pPr>
        <w:jc w:val="both"/>
        <w:rPr>
          <w:rFonts w:ascii="Times New Roman" w:eastAsia="Times New Roman" w:hAnsi="Times New Roman" w:cs="Times New Roman"/>
          <w:b/>
          <w:bCs/>
          <w:sz w:val="22"/>
          <w:szCs w:val="22"/>
        </w:rPr>
      </w:pPr>
      <w:r w:rsidRPr="00EB6E9E">
        <w:rPr>
          <w:rFonts w:ascii="Times New Roman" w:eastAsia="Times New Roman" w:hAnsi="Times New Roman" w:cs="Times New Roman"/>
          <w:b/>
          <w:bCs/>
          <w:sz w:val="22"/>
          <w:szCs w:val="22"/>
        </w:rPr>
        <w:t>Component 1: Investments in Resilient Landscape Integration in targeted areas</w:t>
      </w:r>
    </w:p>
    <w:p w14:paraId="5406A17F" w14:textId="77777777" w:rsidR="00010859" w:rsidRDefault="00010859" w:rsidP="00B072C7">
      <w:pPr>
        <w:jc w:val="both"/>
        <w:rPr>
          <w:rFonts w:ascii="Times New Roman" w:eastAsia="Times New Roman" w:hAnsi="Times New Roman" w:cs="Times New Roman"/>
          <w:b/>
          <w:bCs/>
          <w:sz w:val="22"/>
          <w:szCs w:val="22"/>
        </w:rPr>
      </w:pPr>
    </w:p>
    <w:p w14:paraId="1D6E6CFD" w14:textId="40FF74C6" w:rsidR="00010859" w:rsidRPr="00EB6E9E" w:rsidRDefault="00010859" w:rsidP="00B072C7">
      <w:pPr>
        <w:jc w:val="both"/>
        <w:rPr>
          <w:rFonts w:ascii="Times New Roman" w:eastAsia="Times New Roman" w:hAnsi="Times New Roman" w:cs="Times New Roman"/>
          <w:b/>
          <w:bCs/>
          <w:sz w:val="22"/>
          <w:szCs w:val="22"/>
        </w:rPr>
      </w:pPr>
      <w:r w:rsidRPr="003F2E7D">
        <w:rPr>
          <w:rFonts w:ascii="Times New Roman" w:eastAsia="Arial" w:hAnsi="Times New Roman" w:cs="Times New Roman"/>
          <w:b/>
          <w:bCs/>
          <w:kern w:val="18"/>
          <w:sz w:val="22"/>
          <w:szCs w:val="22"/>
          <w:lang w:val="en-GB" w:eastAsia="en-US"/>
        </w:rPr>
        <w:t>Subcomponent 1.1: Green infrastructure (GI) and sustainable livelihoods in the Bolaman and Cekerek Basins.</w:t>
      </w:r>
      <w:r w:rsidRPr="003F2E7D">
        <w:rPr>
          <w:rFonts w:ascii="Times New Roman" w:eastAsia="Arial" w:hAnsi="Times New Roman" w:cs="Times New Roman"/>
          <w:kern w:val="18"/>
          <w:sz w:val="22"/>
          <w:szCs w:val="22"/>
          <w:lang w:val="en-GB" w:eastAsia="en-US"/>
        </w:rPr>
        <w:t xml:space="preserve"> The objective of this subcomponent is to restore and maintain the health, function, and productivity of critical ecosystems and promote sustainable land uses within the target basins to improve the sustainability of the natural resource base, enhance the livelihood security of local communities, and build resilience against climate-induced hazards. This sub-component will finance a range of investments which will be planned in a participatory manner with targeted communities through the development of priority </w:t>
      </w:r>
      <w:r w:rsidR="00646336">
        <w:rPr>
          <w:rFonts w:ascii="Times New Roman" w:eastAsia="Arial" w:hAnsi="Times New Roman" w:cs="Times New Roman"/>
          <w:kern w:val="18"/>
          <w:sz w:val="22"/>
          <w:szCs w:val="22"/>
          <w:lang w:val="en-US" w:eastAsia="en-US"/>
        </w:rPr>
        <w:t>Micro-Catchment Plans (</w:t>
      </w:r>
      <w:r w:rsidRPr="003F2E7D">
        <w:rPr>
          <w:rFonts w:ascii="Times New Roman" w:eastAsia="Arial" w:hAnsi="Times New Roman" w:cs="Times New Roman"/>
          <w:kern w:val="18"/>
          <w:sz w:val="22"/>
          <w:szCs w:val="22"/>
          <w:lang w:val="en-GB" w:eastAsia="en-US"/>
        </w:rPr>
        <w:t>MCPs</w:t>
      </w:r>
      <w:r w:rsidR="00646336">
        <w:rPr>
          <w:rFonts w:ascii="Times New Roman" w:eastAsia="Arial" w:hAnsi="Times New Roman" w:cs="Times New Roman"/>
          <w:kern w:val="18"/>
          <w:sz w:val="22"/>
          <w:szCs w:val="22"/>
          <w:lang w:val="en-GB" w:eastAsia="en-US"/>
        </w:rPr>
        <w:t>)</w:t>
      </w:r>
      <w:r w:rsidRPr="003F2E7D">
        <w:rPr>
          <w:rFonts w:ascii="Times New Roman" w:eastAsia="Arial" w:hAnsi="Times New Roman" w:cs="Times New Roman"/>
          <w:kern w:val="18"/>
          <w:sz w:val="22"/>
          <w:szCs w:val="22"/>
          <w:lang w:val="en-GB" w:eastAsia="en-US"/>
        </w:rPr>
        <w:t xml:space="preserve"> in each respective basin. Investments will include a variety of GI measures, sustainable and climate-smart agricultural practices, and livelihood diversification activities to be implemented by OGM and TRGM through their Regional and Provincial offices.</w:t>
      </w:r>
    </w:p>
    <w:p w14:paraId="3057F64F" w14:textId="77777777" w:rsidR="00010859" w:rsidRPr="00D434A6" w:rsidRDefault="00010859" w:rsidP="00B072C7">
      <w:pPr>
        <w:ind w:left="4"/>
        <w:jc w:val="both"/>
        <w:rPr>
          <w:rFonts w:ascii="Arial" w:eastAsia="Arial" w:hAnsi="Arial" w:cs="Times New Roman"/>
          <w:kern w:val="18"/>
          <w:sz w:val="18"/>
          <w:szCs w:val="18"/>
          <w:lang w:val="en-GB" w:eastAsia="en-US"/>
        </w:rPr>
      </w:pPr>
    </w:p>
    <w:p w14:paraId="39910AB8" w14:textId="77777777" w:rsidR="00010859" w:rsidRPr="003F2E7D" w:rsidRDefault="00010859" w:rsidP="00B072C7">
      <w:pPr>
        <w:ind w:left="4"/>
        <w:jc w:val="both"/>
        <w:rPr>
          <w:rFonts w:ascii="Times New Roman" w:eastAsia="Arial" w:hAnsi="Times New Roman" w:cs="Times New Roman"/>
          <w:kern w:val="18"/>
          <w:sz w:val="22"/>
          <w:szCs w:val="22"/>
          <w:lang w:val="en-GB" w:eastAsia="en-US"/>
        </w:rPr>
      </w:pPr>
      <w:r w:rsidRPr="003F2E7D">
        <w:rPr>
          <w:rFonts w:ascii="Times New Roman" w:eastAsia="Arial" w:hAnsi="Times New Roman" w:cs="Times New Roman"/>
          <w:b/>
          <w:bCs/>
          <w:kern w:val="18"/>
          <w:sz w:val="22"/>
          <w:szCs w:val="22"/>
          <w:lang w:val="en-GB" w:eastAsia="en-US"/>
        </w:rPr>
        <w:t>Subcomponent 1.2: Resilient gray infrastructure in the Bolaman and Cekerek basins</w:t>
      </w:r>
      <w:r w:rsidRPr="003F2E7D">
        <w:rPr>
          <w:rFonts w:ascii="Times New Roman" w:eastAsia="Arial" w:hAnsi="Times New Roman" w:cs="Times New Roman"/>
          <w:kern w:val="18"/>
          <w:sz w:val="22"/>
          <w:szCs w:val="22"/>
          <w:lang w:val="en-GB" w:eastAsia="en-US"/>
        </w:rPr>
        <w:t>. The objective of this subcomponent is to help local communities in targeted basins adapt to the impacts of climate change, including floods, sedimentation, landslides, and droughts, through improved access to resilient infrastructure services for protection against climate-related disasters, water storage, irrigation water supply, and year-round mobility. These investments will be appraised through subproject-specific feasibility studies, economic analysis, and environmental and social assessments. Engineering designs will incorporate suitable climate and disaster resilient measures through specific resilient infrastructure guidelines developed for the planned subproject typologies based on basin-wide vulnerability assessments carried out during project preparation. GI will be designed to complement the gr</w:t>
      </w:r>
      <w:r>
        <w:rPr>
          <w:rFonts w:ascii="Times New Roman" w:eastAsia="Arial" w:hAnsi="Times New Roman" w:cs="Times New Roman"/>
          <w:kern w:val="18"/>
          <w:sz w:val="22"/>
          <w:szCs w:val="22"/>
          <w:lang w:val="en-GB" w:eastAsia="en-US"/>
        </w:rPr>
        <w:t>e</w:t>
      </w:r>
      <w:r w:rsidRPr="003F2E7D">
        <w:rPr>
          <w:rFonts w:ascii="Times New Roman" w:eastAsia="Arial" w:hAnsi="Times New Roman" w:cs="Times New Roman"/>
          <w:kern w:val="18"/>
          <w:sz w:val="22"/>
          <w:szCs w:val="22"/>
          <w:lang w:val="en-GB" w:eastAsia="en-US"/>
        </w:rPr>
        <w:t>y infrastructure and optimize the functionality, cost-effectiveness, and resilience of the integrated natural and built system. This subcomponent will include two parts, implemented by DSI and KGM respectively.</w:t>
      </w:r>
    </w:p>
    <w:p w14:paraId="0C54FC67" w14:textId="77777777" w:rsidR="00010859" w:rsidRPr="00D434A6" w:rsidRDefault="00010859" w:rsidP="00B072C7">
      <w:pPr>
        <w:ind w:left="4"/>
        <w:jc w:val="both"/>
        <w:rPr>
          <w:rFonts w:ascii="Arial" w:eastAsia="Arial" w:hAnsi="Arial" w:cs="Times New Roman"/>
          <w:kern w:val="18"/>
          <w:sz w:val="18"/>
          <w:szCs w:val="18"/>
          <w:lang w:val="en-GB" w:eastAsia="en-US"/>
        </w:rPr>
      </w:pPr>
    </w:p>
    <w:p w14:paraId="3363C0CD" w14:textId="77777777" w:rsidR="00010859" w:rsidRPr="00EB6E9E" w:rsidRDefault="00010859" w:rsidP="00B072C7">
      <w:pPr>
        <w:ind w:left="4"/>
        <w:jc w:val="both"/>
        <w:rPr>
          <w:rFonts w:ascii="Times New Roman" w:eastAsia="Arial" w:hAnsi="Times New Roman" w:cs="Times New Roman"/>
          <w:kern w:val="18"/>
          <w:sz w:val="22"/>
          <w:szCs w:val="22"/>
          <w:lang w:val="en-GB" w:eastAsia="en-US"/>
        </w:rPr>
      </w:pPr>
      <w:r w:rsidRPr="00EB6E9E">
        <w:rPr>
          <w:rFonts w:ascii="Times New Roman" w:eastAsia="Arial" w:hAnsi="Times New Roman" w:cs="Times New Roman"/>
          <w:b/>
          <w:bCs/>
          <w:kern w:val="18"/>
          <w:sz w:val="22"/>
          <w:szCs w:val="22"/>
          <w:lang w:val="en-GB" w:eastAsia="en-US"/>
        </w:rPr>
        <w:t>Component 2: Institutional Framework, Project Management, and Sustainability</w:t>
      </w:r>
      <w:r>
        <w:rPr>
          <w:rFonts w:ascii="Times New Roman" w:eastAsia="Arial" w:hAnsi="Times New Roman" w:cs="Times New Roman"/>
          <w:b/>
          <w:bCs/>
          <w:kern w:val="18"/>
          <w:sz w:val="22"/>
          <w:szCs w:val="22"/>
          <w:lang w:val="en-GB" w:eastAsia="en-US"/>
        </w:rPr>
        <w:t xml:space="preserve">. </w:t>
      </w:r>
      <w:r w:rsidRPr="00EB6E9E">
        <w:rPr>
          <w:rFonts w:ascii="Times New Roman" w:eastAsia="Arial" w:hAnsi="Times New Roman" w:cs="Times New Roman"/>
          <w:kern w:val="18"/>
          <w:sz w:val="22"/>
          <w:szCs w:val="22"/>
          <w:lang w:val="en-GB" w:eastAsia="en-US"/>
        </w:rPr>
        <w:t xml:space="preserve">The objective of this component is to strengthen the capacity and coordination among TULIP Implementing Agencies to ensure not only effective and efficient project implementation, but also the establishment of sustainable </w:t>
      </w:r>
      <w:r w:rsidRPr="00EB6E9E">
        <w:rPr>
          <w:rFonts w:ascii="Times New Roman" w:eastAsia="Arial" w:hAnsi="Times New Roman" w:cs="Times New Roman"/>
          <w:kern w:val="18"/>
          <w:sz w:val="22"/>
          <w:szCs w:val="22"/>
          <w:lang w:val="en-GB" w:eastAsia="en-US"/>
        </w:rPr>
        <w:lastRenderedPageBreak/>
        <w:t>institutional structures and processes to support integrated landscape planning and management in both the project area and elsewhere. Scaling up this strategy to other vulnerable rural areas will enable adaptation and resilience building, as well as job creation and sustainable recovery from the pandemic, on a large scale. Implementation of this component will be under the overall responsibility of OGM and will include the following two sub-components:</w:t>
      </w:r>
    </w:p>
    <w:p w14:paraId="14E859F5" w14:textId="77777777" w:rsidR="00010859" w:rsidRPr="00EB6E9E" w:rsidRDefault="00010859" w:rsidP="00B072C7">
      <w:pPr>
        <w:ind w:left="4"/>
        <w:jc w:val="both"/>
        <w:rPr>
          <w:rFonts w:ascii="Times New Roman" w:eastAsia="Arial" w:hAnsi="Times New Roman" w:cs="Times New Roman"/>
          <w:kern w:val="18"/>
          <w:sz w:val="22"/>
          <w:szCs w:val="22"/>
          <w:lang w:val="en-GB" w:eastAsia="en-US"/>
        </w:rPr>
      </w:pPr>
    </w:p>
    <w:p w14:paraId="30CFCB8B" w14:textId="3B37F448" w:rsidR="00010859" w:rsidRPr="00EB6E9E" w:rsidRDefault="00010859" w:rsidP="00B072C7">
      <w:pPr>
        <w:ind w:left="4"/>
        <w:jc w:val="both"/>
        <w:rPr>
          <w:rFonts w:ascii="Times New Roman" w:eastAsia="Arial" w:hAnsi="Times New Roman" w:cs="Times New Roman"/>
          <w:kern w:val="18"/>
          <w:sz w:val="22"/>
          <w:szCs w:val="22"/>
          <w:lang w:val="en-GB" w:eastAsia="en-US"/>
        </w:rPr>
      </w:pPr>
      <w:r w:rsidRPr="00EB6E9E">
        <w:rPr>
          <w:rFonts w:ascii="Times New Roman" w:eastAsia="Arial" w:hAnsi="Times New Roman" w:cs="Times New Roman"/>
          <w:b/>
          <w:bCs/>
          <w:kern w:val="18"/>
          <w:sz w:val="22"/>
          <w:szCs w:val="22"/>
          <w:lang w:val="en-GB" w:eastAsia="en-US"/>
        </w:rPr>
        <w:t>Sub-component 2.1: Implementation Framework for Integrated Landscape Management</w:t>
      </w:r>
      <w:r w:rsidRPr="00EB6E9E">
        <w:rPr>
          <w:rFonts w:ascii="Times New Roman" w:eastAsia="Arial" w:hAnsi="Times New Roman" w:cs="Times New Roman"/>
          <w:kern w:val="18"/>
          <w:sz w:val="22"/>
          <w:szCs w:val="22"/>
          <w:lang w:val="en-GB" w:eastAsia="en-US"/>
        </w:rPr>
        <w:t>. The aim of this sub-component is to support the development of a national strategy for landscape resilience and sustainable recovery for vulnerable rural areas, and the necessary institutional framework and capacity building to support the implementation of such strategy. Activities under this component will include: (i) support for the establishment of the implementation framework for Integrated Landscape Management, including the development of a national strategy for landscape resilience and sustainable recovery in vulnerable rural areas and the associated regulatory mechanism</w:t>
      </w:r>
      <w:r w:rsidR="00212E0D">
        <w:rPr>
          <w:rFonts w:ascii="Times New Roman" w:eastAsia="Arial" w:hAnsi="Times New Roman" w:cs="Times New Roman"/>
          <w:kern w:val="18"/>
          <w:sz w:val="22"/>
          <w:szCs w:val="22"/>
          <w:lang w:val="en-GB" w:eastAsia="en-US"/>
        </w:rPr>
        <w:t xml:space="preserve"> for institutional coordination</w:t>
      </w:r>
      <w:r w:rsidRPr="00EB6E9E">
        <w:rPr>
          <w:rFonts w:ascii="Times New Roman" w:eastAsia="Arial" w:hAnsi="Times New Roman" w:cs="Times New Roman"/>
          <w:kern w:val="18"/>
          <w:sz w:val="22"/>
          <w:szCs w:val="22"/>
          <w:lang w:val="en-GB" w:eastAsia="en-US"/>
        </w:rPr>
        <w:t>; (ii) technical assistance for the development of guidelines to support the implementation of the national strategy for landscape resilience, including for the design of integrated planning tools at the landscape level combining green and gray infrastructure solutions (</w:t>
      </w:r>
      <w:r w:rsidR="00212E0D">
        <w:rPr>
          <w:rFonts w:ascii="Times New Roman" w:eastAsia="Arial" w:hAnsi="Times New Roman" w:cs="Times New Roman"/>
          <w:kern w:val="18"/>
          <w:sz w:val="22"/>
          <w:szCs w:val="22"/>
          <w:lang w:val="en-US" w:eastAsia="en-US"/>
        </w:rPr>
        <w:t>Integrated Landscape Management Plans [</w:t>
      </w:r>
      <w:r w:rsidRPr="00EB6E9E">
        <w:rPr>
          <w:rFonts w:ascii="Times New Roman" w:eastAsia="Arial" w:hAnsi="Times New Roman" w:cs="Times New Roman"/>
          <w:kern w:val="18"/>
          <w:sz w:val="22"/>
          <w:szCs w:val="22"/>
          <w:lang w:val="en-GB" w:eastAsia="en-US"/>
        </w:rPr>
        <w:t>ILMPs</w:t>
      </w:r>
      <w:r w:rsidR="00212E0D">
        <w:rPr>
          <w:rFonts w:ascii="Times New Roman" w:eastAsia="Arial" w:hAnsi="Times New Roman" w:cs="Times New Roman"/>
          <w:kern w:val="18"/>
          <w:sz w:val="22"/>
          <w:szCs w:val="22"/>
          <w:lang w:val="en-GB" w:eastAsia="en-US"/>
        </w:rPr>
        <w:t>]</w:t>
      </w:r>
      <w:r w:rsidRPr="00EB6E9E">
        <w:rPr>
          <w:rFonts w:ascii="Times New Roman" w:eastAsia="Arial" w:hAnsi="Times New Roman" w:cs="Times New Roman"/>
          <w:kern w:val="18"/>
          <w:sz w:val="22"/>
          <w:szCs w:val="22"/>
          <w:lang w:val="en-GB" w:eastAsia="en-US"/>
        </w:rPr>
        <w:t xml:space="preserve">, </w:t>
      </w:r>
      <w:r w:rsidR="00212E0D" w:rsidRPr="00EB6E9E" w:rsidDel="00212E0D">
        <w:rPr>
          <w:rFonts w:ascii="Times New Roman" w:eastAsia="Arial" w:hAnsi="Times New Roman" w:cs="Times New Roman"/>
          <w:kern w:val="18"/>
          <w:sz w:val="22"/>
          <w:szCs w:val="22"/>
          <w:lang w:val="en-GB" w:eastAsia="en-US"/>
        </w:rPr>
        <w:t xml:space="preserve"> </w:t>
      </w:r>
      <w:r w:rsidRPr="00EB6E9E">
        <w:rPr>
          <w:rFonts w:ascii="Times New Roman" w:eastAsia="Arial" w:hAnsi="Times New Roman" w:cs="Times New Roman"/>
          <w:kern w:val="18"/>
          <w:sz w:val="22"/>
          <w:szCs w:val="22"/>
          <w:lang w:val="en-GB" w:eastAsia="en-US"/>
        </w:rPr>
        <w:t xml:space="preserve">CPs, and others); (iii) assistance for the development of ILMPs and MCPs for the BRB and CRB; (iv) support for the development of feasibility studies </w:t>
      </w:r>
      <w:r w:rsidR="00D931EA">
        <w:rPr>
          <w:rFonts w:ascii="Times New Roman" w:eastAsia="Arial" w:hAnsi="Times New Roman" w:cs="Times New Roman"/>
          <w:kern w:val="18"/>
          <w:sz w:val="22"/>
          <w:szCs w:val="22"/>
          <w:lang w:val="en-US" w:eastAsia="en-US"/>
        </w:rPr>
        <w:t xml:space="preserve">and Environmental and Social (E&amp;S) tools, as needed, </w:t>
      </w:r>
      <w:r w:rsidRPr="00EB6E9E">
        <w:rPr>
          <w:rFonts w:ascii="Times New Roman" w:eastAsia="Arial" w:hAnsi="Times New Roman" w:cs="Times New Roman"/>
          <w:kern w:val="18"/>
          <w:sz w:val="22"/>
          <w:szCs w:val="22"/>
          <w:lang w:val="en-GB" w:eastAsia="en-US"/>
        </w:rPr>
        <w:t xml:space="preserve">for additional priority basins; and (v) capacity building and awareness raising for relevant institutions, local authorities, and rural communities for the </w:t>
      </w:r>
      <w:r w:rsidR="00D931EA">
        <w:rPr>
          <w:rFonts w:ascii="Times New Roman" w:eastAsia="Arial" w:hAnsi="Times New Roman" w:cs="Times New Roman"/>
          <w:kern w:val="18"/>
          <w:sz w:val="22"/>
          <w:szCs w:val="22"/>
          <w:lang w:val="en-GB" w:eastAsia="en-US"/>
        </w:rPr>
        <w:t>implementation</w:t>
      </w:r>
      <w:r w:rsidR="00D931EA" w:rsidRPr="00EB6E9E">
        <w:rPr>
          <w:rFonts w:ascii="Times New Roman" w:eastAsia="Arial" w:hAnsi="Times New Roman" w:cs="Times New Roman"/>
          <w:kern w:val="18"/>
          <w:sz w:val="22"/>
          <w:szCs w:val="22"/>
          <w:lang w:val="en-GB" w:eastAsia="en-US"/>
        </w:rPr>
        <w:t xml:space="preserve"> </w:t>
      </w:r>
      <w:r w:rsidRPr="00EB6E9E">
        <w:rPr>
          <w:rFonts w:ascii="Times New Roman" w:eastAsia="Arial" w:hAnsi="Times New Roman" w:cs="Times New Roman"/>
          <w:kern w:val="18"/>
          <w:sz w:val="22"/>
          <w:szCs w:val="22"/>
          <w:lang w:val="en-GB" w:eastAsia="en-US"/>
        </w:rPr>
        <w:t xml:space="preserve">of sustainable landscape management practices, including on dam safety issues. </w:t>
      </w:r>
    </w:p>
    <w:p w14:paraId="2EC06E89" w14:textId="77777777" w:rsidR="00010859" w:rsidRPr="00EB6E9E" w:rsidRDefault="00010859" w:rsidP="00B072C7">
      <w:pPr>
        <w:ind w:left="4"/>
        <w:jc w:val="both"/>
        <w:rPr>
          <w:rFonts w:ascii="Times New Roman" w:eastAsia="Arial" w:hAnsi="Times New Roman" w:cs="Times New Roman"/>
          <w:kern w:val="18"/>
          <w:sz w:val="22"/>
          <w:szCs w:val="22"/>
          <w:lang w:val="en-GB" w:eastAsia="en-US"/>
        </w:rPr>
      </w:pPr>
    </w:p>
    <w:p w14:paraId="275D4BD9" w14:textId="5B4F0418" w:rsidR="00010859" w:rsidRPr="00EB6E9E" w:rsidRDefault="00010859" w:rsidP="00B072C7">
      <w:pPr>
        <w:ind w:left="4"/>
        <w:jc w:val="both"/>
        <w:rPr>
          <w:rFonts w:ascii="Times New Roman" w:eastAsia="Arial" w:hAnsi="Times New Roman" w:cs="Times New Roman"/>
          <w:kern w:val="18"/>
          <w:sz w:val="22"/>
          <w:szCs w:val="22"/>
          <w:lang w:val="en-GB" w:eastAsia="en-US"/>
        </w:rPr>
      </w:pPr>
      <w:r w:rsidRPr="00EB6E9E">
        <w:rPr>
          <w:rFonts w:ascii="Times New Roman" w:eastAsia="Arial" w:hAnsi="Times New Roman" w:cs="Times New Roman"/>
          <w:b/>
          <w:bCs/>
          <w:kern w:val="18"/>
          <w:sz w:val="22"/>
          <w:szCs w:val="22"/>
          <w:lang w:val="en-GB" w:eastAsia="en-US"/>
        </w:rPr>
        <w:t>Sub-component 2.2: Project management and sustainability</w:t>
      </w:r>
      <w:r w:rsidRPr="00EB6E9E">
        <w:rPr>
          <w:rFonts w:ascii="Times New Roman" w:eastAsia="Arial" w:hAnsi="Times New Roman" w:cs="Times New Roman"/>
          <w:kern w:val="18"/>
          <w:sz w:val="22"/>
          <w:szCs w:val="22"/>
          <w:lang w:val="en-GB" w:eastAsia="en-US"/>
        </w:rPr>
        <w:t>. Activities under this sub-component will include support for a Project Coordination Unit (PCU) and Regional Support Teams (RSTs) under OGM, and Project Implementation Units (PIUs) under KGM, TRGM and DSI for: (i) strengthening capacity for day-to-day project management on technical, fiduciary, monitoring and evaluation</w:t>
      </w:r>
      <w:r w:rsidR="00D931EA">
        <w:rPr>
          <w:rFonts w:ascii="Times New Roman" w:eastAsia="Arial" w:hAnsi="Times New Roman" w:cs="Times New Roman"/>
          <w:kern w:val="18"/>
          <w:sz w:val="22"/>
          <w:szCs w:val="22"/>
          <w:lang w:val="en-GB" w:eastAsia="en-US"/>
        </w:rPr>
        <w:t xml:space="preserve"> (M&amp;E)</w:t>
      </w:r>
      <w:r w:rsidRPr="00EB6E9E">
        <w:rPr>
          <w:rFonts w:ascii="Times New Roman" w:eastAsia="Arial" w:hAnsi="Times New Roman" w:cs="Times New Roman"/>
          <w:kern w:val="18"/>
          <w:sz w:val="22"/>
          <w:szCs w:val="22"/>
          <w:lang w:val="en-GB" w:eastAsia="en-US"/>
        </w:rPr>
        <w:t>, environmental, and social issues; (ii) environmental and social risk management, including preparation of site-specific E&amp;S instruments and dam safety issues; (iii) grievance redress, citizen engagement, and communications; and (iv) M&amp;E of project activities, including impact assessments, beneficiary satisfaction surveys, and development of an integrated data platform for monitoring of key landscape variables.</w:t>
      </w:r>
    </w:p>
    <w:p w14:paraId="413381A6" w14:textId="77777777" w:rsidR="00010859" w:rsidRDefault="00010859" w:rsidP="00B072C7">
      <w:pPr>
        <w:jc w:val="both"/>
        <w:rPr>
          <w:rFonts w:ascii="Times New Roman" w:eastAsia="Times New Roman" w:hAnsi="Times New Roman" w:cs="Times New Roman"/>
          <w:sz w:val="24"/>
          <w:szCs w:val="24"/>
        </w:rPr>
      </w:pPr>
    </w:p>
    <w:p w14:paraId="70019185" w14:textId="67BC6673" w:rsidR="00010859" w:rsidRDefault="00010859" w:rsidP="00B072C7">
      <w:pPr>
        <w:pStyle w:val="ListeParagraf"/>
        <w:numPr>
          <w:ilvl w:val="0"/>
          <w:numId w:val="8"/>
        </w:numPr>
        <w:jc w:val="both"/>
        <w:rPr>
          <w:rFonts w:ascii="Times New Roman" w:eastAsia="Times New Roman" w:hAnsi="Times New Roman" w:cs="Times New Roman"/>
          <w:b/>
          <w:bCs/>
          <w:sz w:val="24"/>
          <w:szCs w:val="24"/>
        </w:rPr>
      </w:pPr>
      <w:r w:rsidRPr="00B072C7">
        <w:rPr>
          <w:rFonts w:ascii="Times New Roman" w:eastAsia="Times New Roman" w:hAnsi="Times New Roman" w:cs="Times New Roman"/>
          <w:b/>
          <w:bCs/>
          <w:sz w:val="24"/>
          <w:szCs w:val="24"/>
        </w:rPr>
        <w:t>Scope and Objective</w:t>
      </w:r>
    </w:p>
    <w:p w14:paraId="41B33DFE" w14:textId="77777777" w:rsidR="00B072C7" w:rsidRPr="00B072C7" w:rsidRDefault="00B072C7" w:rsidP="00B072C7">
      <w:pPr>
        <w:pStyle w:val="ListeParagraf"/>
        <w:ind w:left="364"/>
        <w:jc w:val="both"/>
        <w:rPr>
          <w:rFonts w:ascii="Times New Roman" w:eastAsia="Times New Roman" w:hAnsi="Times New Roman" w:cs="Times New Roman"/>
          <w:b/>
          <w:bCs/>
          <w:sz w:val="24"/>
          <w:szCs w:val="24"/>
        </w:rPr>
      </w:pPr>
    </w:p>
    <w:p w14:paraId="0738A1D1" w14:textId="015D0489" w:rsidR="00010859" w:rsidRPr="00137832" w:rsidRDefault="00010859" w:rsidP="00B072C7">
      <w:pPr>
        <w:jc w:val="both"/>
        <w:rPr>
          <w:rFonts w:ascii="Times New Roman" w:eastAsia="Times New Roman" w:hAnsi="Times New Roman" w:cs="Times New Roman"/>
          <w:sz w:val="22"/>
          <w:szCs w:val="22"/>
        </w:rPr>
      </w:pPr>
      <w:r w:rsidRPr="00137832">
        <w:rPr>
          <w:rFonts w:ascii="Times New Roman" w:eastAsia="Times New Roman" w:hAnsi="Times New Roman" w:cs="Times New Roman"/>
          <w:sz w:val="22"/>
          <w:szCs w:val="22"/>
        </w:rPr>
        <w:t xml:space="preserve">In the scope of the Project, </w:t>
      </w:r>
      <w:r w:rsidR="00351723" w:rsidRPr="00137832">
        <w:rPr>
          <w:rFonts w:ascii="Times New Roman" w:eastAsia="Times New Roman" w:hAnsi="Times New Roman" w:cs="Times New Roman"/>
          <w:sz w:val="22"/>
          <w:szCs w:val="22"/>
        </w:rPr>
        <w:t xml:space="preserve">a </w:t>
      </w:r>
      <w:r w:rsidR="00DE5DA9" w:rsidRPr="00137832">
        <w:rPr>
          <w:rFonts w:ascii="Times New Roman" w:eastAsia="Times New Roman" w:hAnsi="Times New Roman" w:cs="Times New Roman"/>
          <w:sz w:val="22"/>
          <w:szCs w:val="22"/>
        </w:rPr>
        <w:t xml:space="preserve">Social Safeguard </w:t>
      </w:r>
      <w:r w:rsidRPr="00137832">
        <w:rPr>
          <w:rFonts w:ascii="Times New Roman" w:eastAsia="Times New Roman" w:hAnsi="Times New Roman" w:cs="Times New Roman"/>
          <w:sz w:val="22"/>
          <w:szCs w:val="22"/>
        </w:rPr>
        <w:t xml:space="preserve">Specialist needs to be recruited at the central level (PCU) to </w:t>
      </w:r>
      <w:r w:rsidR="00B209D4">
        <w:rPr>
          <w:rFonts w:ascii="Times New Roman" w:eastAsia="Times New Roman" w:hAnsi="Times New Roman" w:cs="Times New Roman"/>
          <w:sz w:val="22"/>
          <w:szCs w:val="22"/>
          <w:lang w:val="en-US"/>
        </w:rPr>
        <w:t xml:space="preserve">assist in the project implementation in respect to </w:t>
      </w:r>
      <w:r w:rsidR="00DE5DA9" w:rsidRPr="00137832">
        <w:rPr>
          <w:rFonts w:ascii="Times New Roman" w:hAnsi="Times New Roman" w:cs="Times New Roman"/>
          <w:sz w:val="22"/>
          <w:szCs w:val="22"/>
        </w:rPr>
        <w:t xml:space="preserve">oversee </w:t>
      </w:r>
      <w:r w:rsidR="00B209D4">
        <w:rPr>
          <w:rFonts w:ascii="Times New Roman" w:hAnsi="Times New Roman" w:cs="Times New Roman"/>
          <w:sz w:val="22"/>
          <w:szCs w:val="22"/>
        </w:rPr>
        <w:t xml:space="preserve">and ensure </w:t>
      </w:r>
      <w:r w:rsidR="00DE5DA9" w:rsidRPr="00137832">
        <w:rPr>
          <w:rFonts w:ascii="Times New Roman" w:hAnsi="Times New Roman" w:cs="Times New Roman"/>
          <w:sz w:val="22"/>
          <w:szCs w:val="22"/>
        </w:rPr>
        <w:t>implementation of social impact and risk mitigation plans and monitoring of all social aspects related to the project</w:t>
      </w:r>
      <w:r w:rsidR="00351723" w:rsidRPr="00137832">
        <w:rPr>
          <w:rFonts w:ascii="Times New Roman" w:hAnsi="Times New Roman" w:cs="Times New Roman"/>
          <w:sz w:val="22"/>
          <w:szCs w:val="22"/>
        </w:rPr>
        <w:t xml:space="preserve"> and build in-house </w:t>
      </w:r>
      <w:r w:rsidR="00DE5DA9" w:rsidRPr="00137832">
        <w:rPr>
          <w:rFonts w:ascii="Times New Roman" w:hAnsi="Times New Roman" w:cs="Times New Roman"/>
          <w:sz w:val="22"/>
          <w:szCs w:val="22"/>
        </w:rPr>
        <w:t xml:space="preserve">social </w:t>
      </w:r>
      <w:r w:rsidR="00351723" w:rsidRPr="00137832">
        <w:rPr>
          <w:rFonts w:ascii="Times New Roman" w:hAnsi="Times New Roman" w:cs="Times New Roman"/>
          <w:sz w:val="22"/>
          <w:szCs w:val="22"/>
        </w:rPr>
        <w:t xml:space="preserve">management capacity of the </w:t>
      </w:r>
      <w:r w:rsidR="00D414E7" w:rsidRPr="00137832">
        <w:rPr>
          <w:rFonts w:ascii="Times New Roman" w:eastAsia="Times New Roman" w:hAnsi="Times New Roman" w:cs="Times New Roman"/>
          <w:sz w:val="22"/>
          <w:szCs w:val="22"/>
        </w:rPr>
        <w:t>OGM other IAs.</w:t>
      </w:r>
      <w:r w:rsidR="00351723" w:rsidRPr="00137832">
        <w:rPr>
          <w:rFonts w:ascii="Times New Roman" w:eastAsia="Times New Roman" w:hAnsi="Times New Roman" w:cs="Times New Roman"/>
          <w:sz w:val="22"/>
          <w:szCs w:val="22"/>
        </w:rPr>
        <w:t xml:space="preserve"> </w:t>
      </w:r>
    </w:p>
    <w:p w14:paraId="0737AA5D" w14:textId="0587174F" w:rsidR="00351723" w:rsidRPr="00137832" w:rsidRDefault="00351723" w:rsidP="00B072C7">
      <w:pPr>
        <w:jc w:val="both"/>
        <w:rPr>
          <w:rFonts w:ascii="Times New Roman" w:eastAsia="Times New Roman" w:hAnsi="Times New Roman" w:cs="Times New Roman"/>
          <w:sz w:val="22"/>
          <w:szCs w:val="22"/>
        </w:rPr>
      </w:pPr>
    </w:p>
    <w:p w14:paraId="2A95EA1F" w14:textId="04B4F9C9" w:rsidR="00351723" w:rsidRPr="00351723" w:rsidRDefault="00351723" w:rsidP="00B072C7">
      <w:pPr>
        <w:jc w:val="both"/>
        <w:rPr>
          <w:rFonts w:ascii="Times New Roman" w:eastAsia="Times New Roman" w:hAnsi="Times New Roman" w:cs="Times New Roman"/>
          <w:sz w:val="22"/>
          <w:szCs w:val="22"/>
        </w:rPr>
      </w:pPr>
      <w:r w:rsidRPr="008C0E36">
        <w:rPr>
          <w:rFonts w:ascii="Times New Roman" w:eastAsia="Times New Roman" w:hAnsi="Times New Roman" w:cs="Times New Roman"/>
          <w:sz w:val="22"/>
          <w:szCs w:val="22"/>
        </w:rPr>
        <w:t xml:space="preserve">Specifically, the </w:t>
      </w:r>
      <w:r w:rsidR="00DE5DA9">
        <w:rPr>
          <w:rFonts w:ascii="Times New Roman" w:eastAsia="Times New Roman" w:hAnsi="Times New Roman" w:cs="Times New Roman"/>
          <w:sz w:val="22"/>
          <w:szCs w:val="22"/>
        </w:rPr>
        <w:t>Soc</w:t>
      </w:r>
      <w:r w:rsidR="00DE5DA9">
        <w:rPr>
          <w:rFonts w:ascii="Times New Roman" w:eastAsia="Times New Roman" w:hAnsi="Times New Roman" w:cs="Times New Roman"/>
          <w:sz w:val="22"/>
          <w:szCs w:val="22"/>
          <w:lang w:val="en-GB"/>
        </w:rPr>
        <w:t xml:space="preserve">ial Safeguard </w:t>
      </w:r>
      <w:r w:rsidRPr="008C0E36">
        <w:rPr>
          <w:rFonts w:ascii="Times New Roman" w:eastAsia="Times New Roman" w:hAnsi="Times New Roman" w:cs="Times New Roman"/>
          <w:sz w:val="22"/>
          <w:szCs w:val="22"/>
        </w:rPr>
        <w:t xml:space="preserve">Specialist will ensure that the </w:t>
      </w:r>
      <w:r>
        <w:rPr>
          <w:rFonts w:ascii="Times New Roman" w:eastAsia="Times New Roman" w:hAnsi="Times New Roman" w:cs="Times New Roman"/>
          <w:sz w:val="22"/>
          <w:szCs w:val="22"/>
        </w:rPr>
        <w:t>s</w:t>
      </w:r>
      <w:r w:rsidRPr="008C0E36">
        <w:rPr>
          <w:rFonts w:ascii="Times New Roman" w:eastAsia="Times New Roman" w:hAnsi="Times New Roman" w:cs="Times New Roman"/>
          <w:sz w:val="22"/>
          <w:szCs w:val="22"/>
        </w:rPr>
        <w:t xml:space="preserve">ub-projects are carried out </w:t>
      </w:r>
      <w:r w:rsidR="00B209D4">
        <w:rPr>
          <w:rFonts w:ascii="Times New Roman" w:eastAsia="Times New Roman" w:hAnsi="Times New Roman" w:cs="Times New Roman"/>
          <w:sz w:val="22"/>
          <w:szCs w:val="22"/>
        </w:rPr>
        <w:t xml:space="preserve">by </w:t>
      </w:r>
      <w:r>
        <w:rPr>
          <w:rFonts w:ascii="Times New Roman" w:eastAsia="Times New Roman" w:hAnsi="Times New Roman" w:cs="Times New Roman"/>
          <w:sz w:val="22"/>
          <w:szCs w:val="22"/>
        </w:rPr>
        <w:t xml:space="preserve">different IAs </w:t>
      </w:r>
      <w:r w:rsidRPr="008C0E36">
        <w:rPr>
          <w:rFonts w:ascii="Times New Roman" w:eastAsia="Times New Roman" w:hAnsi="Times New Roman" w:cs="Times New Roman"/>
          <w:sz w:val="22"/>
          <w:szCs w:val="22"/>
        </w:rPr>
        <w:t xml:space="preserve">with due regard to appropriate </w:t>
      </w:r>
      <w:r w:rsidR="00DE5DA9">
        <w:rPr>
          <w:rFonts w:ascii="Times New Roman" w:eastAsia="Times New Roman" w:hAnsi="Times New Roman" w:cs="Times New Roman"/>
          <w:sz w:val="22"/>
          <w:szCs w:val="22"/>
        </w:rPr>
        <w:t xml:space="preserve">social </w:t>
      </w:r>
      <w:r w:rsidRPr="008C0E36">
        <w:rPr>
          <w:rFonts w:ascii="Times New Roman" w:eastAsia="Times New Roman" w:hAnsi="Times New Roman" w:cs="Times New Roman"/>
          <w:sz w:val="22"/>
          <w:szCs w:val="22"/>
        </w:rPr>
        <w:t xml:space="preserve">standards and practices, and in accordance with the Safeguards Instruments (Environmental and Social Management Framework-ESMF, </w:t>
      </w:r>
      <w:r w:rsidR="00D12A54">
        <w:rPr>
          <w:rFonts w:ascii="Times New Roman" w:eastAsia="Times New Roman" w:hAnsi="Times New Roman" w:cs="Times New Roman"/>
          <w:sz w:val="22"/>
          <w:szCs w:val="22"/>
        </w:rPr>
        <w:t xml:space="preserve">Stakeholder Engagement Plan-SEP, Labor Managements Procedures-LMP, Resettlement Framework-RF; </w:t>
      </w:r>
      <w:r w:rsidRPr="008C0E36">
        <w:rPr>
          <w:rFonts w:ascii="Times New Roman" w:eastAsia="Times New Roman" w:hAnsi="Times New Roman" w:cs="Times New Roman"/>
          <w:sz w:val="22"/>
          <w:szCs w:val="22"/>
        </w:rPr>
        <w:t>and sub-project specific Environmental and Social Management Plans-ESMPs</w:t>
      </w:r>
      <w:r w:rsidR="00D12A54">
        <w:rPr>
          <w:rFonts w:ascii="Times New Roman" w:eastAsia="Times New Roman" w:hAnsi="Times New Roman" w:cs="Times New Roman"/>
          <w:sz w:val="22"/>
          <w:szCs w:val="22"/>
        </w:rPr>
        <w:t>, Resettlement Plans-RPs, Expost Social Audits</w:t>
      </w:r>
      <w:r w:rsidRPr="008C0E36">
        <w:rPr>
          <w:rFonts w:ascii="Times New Roman" w:eastAsia="Times New Roman" w:hAnsi="Times New Roman" w:cs="Times New Roman"/>
          <w:sz w:val="22"/>
          <w:szCs w:val="22"/>
        </w:rPr>
        <w:t>).</w:t>
      </w:r>
    </w:p>
    <w:p w14:paraId="22A48434" w14:textId="305D1D5F" w:rsidR="00010859" w:rsidRDefault="00010859" w:rsidP="00B072C7">
      <w:pPr>
        <w:jc w:val="both"/>
        <w:rPr>
          <w:rFonts w:ascii="Times New Roman" w:eastAsia="Times New Roman" w:hAnsi="Times New Roman" w:cs="Times New Roman"/>
          <w:sz w:val="22"/>
          <w:szCs w:val="22"/>
        </w:rPr>
      </w:pPr>
    </w:p>
    <w:p w14:paraId="1C7077FD" w14:textId="145E088D" w:rsidR="00010859" w:rsidRDefault="00010859" w:rsidP="00B072C7">
      <w:pPr>
        <w:pStyle w:val="ListeParagraf"/>
        <w:numPr>
          <w:ilvl w:val="0"/>
          <w:numId w:val="8"/>
        </w:numPr>
        <w:jc w:val="both"/>
        <w:rPr>
          <w:rFonts w:ascii="Times New Roman" w:eastAsia="Times New Roman" w:hAnsi="Times New Roman" w:cs="Times New Roman"/>
          <w:b/>
          <w:bCs/>
          <w:sz w:val="24"/>
          <w:szCs w:val="24"/>
        </w:rPr>
      </w:pPr>
      <w:r w:rsidRPr="00B072C7">
        <w:rPr>
          <w:rFonts w:ascii="Times New Roman" w:eastAsia="Times New Roman" w:hAnsi="Times New Roman" w:cs="Times New Roman"/>
          <w:b/>
          <w:bCs/>
          <w:sz w:val="24"/>
          <w:szCs w:val="24"/>
        </w:rPr>
        <w:t>Qualifications and Skills</w:t>
      </w:r>
    </w:p>
    <w:p w14:paraId="767AC370" w14:textId="77777777" w:rsidR="00B072C7" w:rsidRPr="00B072C7" w:rsidRDefault="00B072C7" w:rsidP="00B072C7">
      <w:pPr>
        <w:pStyle w:val="ListeParagraf"/>
        <w:ind w:left="364"/>
        <w:jc w:val="both"/>
        <w:rPr>
          <w:rFonts w:ascii="Times New Roman" w:eastAsia="Times New Roman" w:hAnsi="Times New Roman" w:cs="Times New Roman"/>
          <w:b/>
          <w:bCs/>
          <w:sz w:val="24"/>
          <w:szCs w:val="24"/>
        </w:rPr>
      </w:pPr>
    </w:p>
    <w:p w14:paraId="139ED490" w14:textId="0ED700B5" w:rsidR="00DE5DA9" w:rsidRDefault="00E33A01" w:rsidP="008C0E36">
      <w:pPr>
        <w:pStyle w:val="ListeParagraf"/>
        <w:numPr>
          <w:ilvl w:val="0"/>
          <w:numId w:val="14"/>
        </w:numPr>
        <w:jc w:val="both"/>
        <w:rPr>
          <w:rFonts w:ascii="Times New Roman" w:eastAsia="Times New Roman" w:hAnsi="Times New Roman" w:cs="Times New Roman"/>
          <w:color w:val="000000"/>
          <w:sz w:val="22"/>
          <w:szCs w:val="22"/>
        </w:rPr>
      </w:pPr>
      <w:r w:rsidRPr="00E33A01">
        <w:rPr>
          <w:rFonts w:ascii="Times New Roman" w:eastAsia="Times New Roman" w:hAnsi="Times New Roman" w:cs="Times New Roman"/>
          <w:color w:val="000000"/>
          <w:sz w:val="22"/>
          <w:szCs w:val="22"/>
        </w:rPr>
        <w:t>At least bachelor of social sciences, sociology, economics, public relations, education or related field have a degree</w:t>
      </w:r>
      <w:r w:rsidR="00DE5DA9" w:rsidRPr="008C0E36">
        <w:rPr>
          <w:rFonts w:ascii="Times New Roman" w:eastAsia="Times New Roman" w:hAnsi="Times New Roman" w:cs="Times New Roman"/>
          <w:color w:val="000000"/>
          <w:sz w:val="22"/>
          <w:szCs w:val="22"/>
        </w:rPr>
        <w:t>;</w:t>
      </w:r>
    </w:p>
    <w:p w14:paraId="05CD9616" w14:textId="39126484" w:rsidR="004F3E3E" w:rsidRPr="008C0E36" w:rsidRDefault="004F3E3E" w:rsidP="008C0E36">
      <w:pPr>
        <w:pStyle w:val="ListeParagraf"/>
        <w:numPr>
          <w:ilvl w:val="0"/>
          <w:numId w:val="14"/>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Master’s Degree in social development, sociology, social studies, or related fields in the social sciences will be an asset;</w:t>
      </w:r>
    </w:p>
    <w:p w14:paraId="4F4D6111" w14:textId="6B6D3CA5" w:rsidR="00DE5DA9" w:rsidRPr="008C0E36" w:rsidRDefault="00DE5DA9" w:rsidP="008C0E36">
      <w:pPr>
        <w:pStyle w:val="ListeParagraf"/>
        <w:numPr>
          <w:ilvl w:val="0"/>
          <w:numId w:val="14"/>
        </w:numPr>
        <w:jc w:val="both"/>
        <w:rPr>
          <w:rFonts w:ascii="Times New Roman" w:eastAsia="Times New Roman" w:hAnsi="Times New Roman" w:cs="Times New Roman"/>
          <w:color w:val="000000"/>
          <w:sz w:val="22"/>
          <w:szCs w:val="22"/>
        </w:rPr>
      </w:pPr>
      <w:r w:rsidRPr="008C0E36">
        <w:rPr>
          <w:rFonts w:ascii="Times New Roman" w:eastAsia="Times New Roman" w:hAnsi="Times New Roman" w:cs="Times New Roman"/>
          <w:color w:val="000000"/>
          <w:sz w:val="22"/>
          <w:szCs w:val="22"/>
        </w:rPr>
        <w:t xml:space="preserve">Minimum </w:t>
      </w:r>
      <w:r w:rsidR="00F37565">
        <w:rPr>
          <w:rFonts w:ascii="Times New Roman" w:eastAsia="Times New Roman" w:hAnsi="Times New Roman" w:cs="Times New Roman"/>
          <w:color w:val="000000"/>
          <w:sz w:val="22"/>
          <w:szCs w:val="22"/>
        </w:rPr>
        <w:t>seven</w:t>
      </w:r>
      <w:r w:rsidR="00493AD9">
        <w:rPr>
          <w:rFonts w:ascii="Times New Roman" w:eastAsia="Times New Roman" w:hAnsi="Times New Roman" w:cs="Times New Roman"/>
          <w:color w:val="000000"/>
          <w:sz w:val="22"/>
          <w:szCs w:val="22"/>
        </w:rPr>
        <w:t xml:space="preserve"> </w:t>
      </w:r>
      <w:r w:rsidR="00F37565">
        <w:rPr>
          <w:rFonts w:ascii="Times New Roman" w:eastAsia="Times New Roman" w:hAnsi="Times New Roman" w:cs="Times New Roman"/>
          <w:color w:val="000000"/>
          <w:sz w:val="22"/>
          <w:szCs w:val="22"/>
        </w:rPr>
        <w:t>(7)</w:t>
      </w:r>
      <w:r w:rsidR="00F37565" w:rsidRPr="008C0E36">
        <w:rPr>
          <w:rFonts w:ascii="Times New Roman" w:eastAsia="Times New Roman" w:hAnsi="Times New Roman" w:cs="Times New Roman"/>
          <w:color w:val="000000"/>
          <w:sz w:val="22"/>
          <w:szCs w:val="22"/>
        </w:rPr>
        <w:t xml:space="preserve"> </w:t>
      </w:r>
      <w:r w:rsidRPr="008C0E36">
        <w:rPr>
          <w:rFonts w:ascii="Times New Roman" w:eastAsia="Times New Roman" w:hAnsi="Times New Roman" w:cs="Times New Roman"/>
          <w:color w:val="000000"/>
          <w:sz w:val="22"/>
          <w:szCs w:val="22"/>
        </w:rPr>
        <w:t xml:space="preserve">years’ general work experience as social expert in the field of </w:t>
      </w:r>
      <w:r w:rsidR="00A22687">
        <w:rPr>
          <w:rFonts w:ascii="Times New Roman" w:eastAsia="Times New Roman" w:hAnsi="Times New Roman" w:cs="Times New Roman"/>
          <w:color w:val="000000"/>
          <w:sz w:val="22"/>
          <w:szCs w:val="22"/>
        </w:rPr>
        <w:t xml:space="preserve">forestry, agriculture, </w:t>
      </w:r>
      <w:r w:rsidRPr="008C0E36">
        <w:rPr>
          <w:rFonts w:ascii="Times New Roman" w:eastAsia="Times New Roman" w:hAnsi="Times New Roman" w:cs="Times New Roman"/>
          <w:color w:val="000000"/>
          <w:sz w:val="22"/>
          <w:szCs w:val="22"/>
        </w:rPr>
        <w:t>water</w:t>
      </w:r>
      <w:r w:rsidR="00A22687">
        <w:rPr>
          <w:rFonts w:ascii="Times New Roman" w:eastAsia="Times New Roman" w:hAnsi="Times New Roman" w:cs="Times New Roman"/>
          <w:color w:val="000000"/>
          <w:sz w:val="22"/>
          <w:szCs w:val="22"/>
        </w:rPr>
        <w:t>,</w:t>
      </w:r>
      <w:r w:rsidRPr="008C0E36">
        <w:rPr>
          <w:rFonts w:ascii="Times New Roman" w:eastAsia="Times New Roman" w:hAnsi="Times New Roman" w:cs="Times New Roman"/>
          <w:color w:val="000000"/>
          <w:sz w:val="22"/>
          <w:szCs w:val="22"/>
        </w:rPr>
        <w:t xml:space="preserve"> wastewater or similar assignments/sectors;</w:t>
      </w:r>
    </w:p>
    <w:p w14:paraId="6691B153" w14:textId="038045F8" w:rsidR="00DE5DA9" w:rsidRDefault="00DE5DA9" w:rsidP="008C0E36">
      <w:pPr>
        <w:pStyle w:val="ListeParagraf"/>
        <w:numPr>
          <w:ilvl w:val="0"/>
          <w:numId w:val="14"/>
        </w:numPr>
        <w:jc w:val="both"/>
        <w:rPr>
          <w:rFonts w:ascii="Times New Roman" w:eastAsia="Times New Roman" w:hAnsi="Times New Roman" w:cs="Times New Roman"/>
          <w:color w:val="000000"/>
          <w:sz w:val="22"/>
          <w:szCs w:val="22"/>
        </w:rPr>
      </w:pPr>
      <w:r w:rsidRPr="008C0E36">
        <w:rPr>
          <w:rFonts w:ascii="Times New Roman" w:eastAsia="Times New Roman" w:hAnsi="Times New Roman" w:cs="Times New Roman"/>
          <w:color w:val="000000"/>
          <w:sz w:val="22"/>
          <w:szCs w:val="22"/>
        </w:rPr>
        <w:t xml:space="preserve">At least </w:t>
      </w:r>
      <w:r w:rsidR="00B708B5" w:rsidRPr="00567257">
        <w:rPr>
          <w:rFonts w:ascii="Times New Roman" w:eastAsia="Times New Roman" w:hAnsi="Times New Roman" w:cs="Times New Roman"/>
          <w:color w:val="000000"/>
          <w:sz w:val="22"/>
          <w:szCs w:val="22"/>
        </w:rPr>
        <w:t>three</w:t>
      </w:r>
      <w:r w:rsidR="00F37565" w:rsidRPr="00567257">
        <w:rPr>
          <w:rFonts w:ascii="Times New Roman" w:eastAsia="Times New Roman" w:hAnsi="Times New Roman" w:cs="Times New Roman"/>
          <w:color w:val="000000"/>
          <w:sz w:val="22"/>
          <w:szCs w:val="22"/>
        </w:rPr>
        <w:t xml:space="preserve"> (</w:t>
      </w:r>
      <w:r w:rsidR="00B708B5" w:rsidRPr="00567257">
        <w:rPr>
          <w:rFonts w:ascii="Times New Roman" w:eastAsia="Times New Roman" w:hAnsi="Times New Roman" w:cs="Times New Roman"/>
          <w:color w:val="000000"/>
          <w:sz w:val="22"/>
          <w:szCs w:val="22"/>
        </w:rPr>
        <w:t>3</w:t>
      </w:r>
      <w:r w:rsidR="00F37565" w:rsidRPr="00567257">
        <w:rPr>
          <w:rFonts w:ascii="Times New Roman" w:eastAsia="Times New Roman" w:hAnsi="Times New Roman" w:cs="Times New Roman"/>
          <w:color w:val="000000"/>
          <w:sz w:val="22"/>
          <w:szCs w:val="22"/>
        </w:rPr>
        <w:t>)</w:t>
      </w:r>
      <w:r w:rsidR="008B4ED0" w:rsidRPr="008C0E36">
        <w:rPr>
          <w:rFonts w:ascii="Times New Roman" w:eastAsia="Times New Roman" w:hAnsi="Times New Roman" w:cs="Times New Roman"/>
          <w:color w:val="000000"/>
          <w:sz w:val="22"/>
          <w:szCs w:val="22"/>
        </w:rPr>
        <w:t xml:space="preserve"> </w:t>
      </w:r>
      <w:r w:rsidRPr="008C0E36">
        <w:rPr>
          <w:rFonts w:ascii="Times New Roman" w:eastAsia="Times New Roman" w:hAnsi="Times New Roman" w:cs="Times New Roman"/>
          <w:color w:val="000000"/>
          <w:sz w:val="22"/>
          <w:szCs w:val="22"/>
        </w:rPr>
        <w:t xml:space="preserve">years’ experience </w:t>
      </w:r>
      <w:r w:rsidR="004B45CB">
        <w:rPr>
          <w:rFonts w:ascii="Times New Roman" w:eastAsia="Times New Roman" w:hAnsi="Times New Roman" w:cs="Times New Roman"/>
          <w:color w:val="000000"/>
          <w:sz w:val="22"/>
          <w:szCs w:val="22"/>
        </w:rPr>
        <w:t xml:space="preserve">as social expert </w:t>
      </w:r>
      <w:r w:rsidRPr="008C0E36">
        <w:rPr>
          <w:rFonts w:ascii="Times New Roman" w:eastAsia="Times New Roman" w:hAnsi="Times New Roman" w:cs="Times New Roman"/>
          <w:color w:val="000000"/>
          <w:sz w:val="22"/>
          <w:szCs w:val="22"/>
        </w:rPr>
        <w:t>in management and preparation of ESIAs studies</w:t>
      </w:r>
      <w:r w:rsidR="004B45CB">
        <w:rPr>
          <w:rFonts w:ascii="Times New Roman" w:eastAsia="Times New Roman" w:hAnsi="Times New Roman" w:cs="Times New Roman"/>
          <w:color w:val="000000"/>
          <w:sz w:val="22"/>
          <w:szCs w:val="22"/>
        </w:rPr>
        <w:t>, E&amp;S due diligence studies,</w:t>
      </w:r>
      <w:r w:rsidR="00F1253F">
        <w:rPr>
          <w:rFonts w:ascii="Times New Roman" w:eastAsia="Times New Roman" w:hAnsi="Times New Roman" w:cs="Times New Roman"/>
          <w:color w:val="000000"/>
          <w:sz w:val="22"/>
          <w:szCs w:val="22"/>
        </w:rPr>
        <w:t xml:space="preserve"> </w:t>
      </w:r>
      <w:r w:rsidRPr="008C0E36">
        <w:rPr>
          <w:rFonts w:ascii="Times New Roman" w:eastAsia="Times New Roman" w:hAnsi="Times New Roman" w:cs="Times New Roman"/>
          <w:color w:val="000000"/>
          <w:sz w:val="22"/>
          <w:szCs w:val="22"/>
        </w:rPr>
        <w:t xml:space="preserve">and social baseline data collection, stakeholder engagement, </w:t>
      </w:r>
      <w:r w:rsidRPr="008C0E36">
        <w:rPr>
          <w:rFonts w:ascii="Times New Roman" w:eastAsia="Times New Roman" w:hAnsi="Times New Roman" w:cs="Times New Roman"/>
          <w:color w:val="000000"/>
          <w:sz w:val="22"/>
          <w:szCs w:val="22"/>
        </w:rPr>
        <w:lastRenderedPageBreak/>
        <w:t>public consultation and disclosure in the local and international context such as World Bank/IFC/EBRD/EU, AFD and United Nations and/or resettlement expertise;</w:t>
      </w:r>
    </w:p>
    <w:p w14:paraId="03CD1D42" w14:textId="5A486065" w:rsidR="00F1253F" w:rsidRPr="000B294E" w:rsidRDefault="00F1253F" w:rsidP="00F1253F">
      <w:pPr>
        <w:pStyle w:val="ListeParagraf"/>
        <w:numPr>
          <w:ilvl w:val="0"/>
          <w:numId w:val="14"/>
        </w:numPr>
        <w:jc w:val="both"/>
        <w:rPr>
          <w:rFonts w:ascii="Times New Roman" w:eastAsia="Times New Roman" w:hAnsi="Times New Roman" w:cs="Times New Roman"/>
          <w:color w:val="000000"/>
          <w:sz w:val="22"/>
          <w:szCs w:val="22"/>
        </w:rPr>
      </w:pPr>
      <w:r w:rsidRPr="00F1253F">
        <w:rPr>
          <w:rFonts w:ascii="Times New Roman" w:eastAsia="Times New Roman" w:hAnsi="Times New Roman" w:cs="Times New Roman"/>
          <w:color w:val="000000"/>
          <w:sz w:val="22"/>
          <w:szCs w:val="22"/>
        </w:rPr>
        <w:t>Strong familarity with the World Bank’s ESF or similar environmental and social policies of the IFIs will be an asset;</w:t>
      </w:r>
    </w:p>
    <w:p w14:paraId="1895C76C" w14:textId="165C7844" w:rsidR="00B062F0" w:rsidRPr="003C6B6C" w:rsidRDefault="00B44256" w:rsidP="00435617">
      <w:pPr>
        <w:pStyle w:val="ListeParagraf"/>
        <w:numPr>
          <w:ilvl w:val="0"/>
          <w:numId w:val="9"/>
        </w:numPr>
        <w:jc w:val="both"/>
        <w:rPr>
          <w:rFonts w:ascii="Times New Roman" w:eastAsia="Times New Roman" w:hAnsi="Times New Roman" w:cs="Times New Roman"/>
          <w:color w:val="000000"/>
          <w:sz w:val="22"/>
          <w:szCs w:val="22"/>
        </w:rPr>
      </w:pPr>
      <w:r w:rsidRPr="003C6B6C">
        <w:rPr>
          <w:rFonts w:ascii="Times New Roman" w:eastAsia="Times New Roman" w:hAnsi="Times New Roman" w:cs="Times New Roman"/>
          <w:bCs/>
          <w:color w:val="000000"/>
          <w:sz w:val="22"/>
          <w:szCs w:val="22"/>
        </w:rPr>
        <w:t>Proven experience and ability to engage and communicate effectively with diverse stakeholders including citizens of diverse backgrounds, communities, civil society organizations, local government, civil works contractors, government agencies, etc.</w:t>
      </w:r>
    </w:p>
    <w:p w14:paraId="701233D9" w14:textId="5BA43E5C" w:rsidR="00435617" w:rsidRDefault="00435617" w:rsidP="00435617">
      <w:pPr>
        <w:pStyle w:val="ListeParagraf"/>
        <w:numPr>
          <w:ilvl w:val="0"/>
          <w:numId w:val="9"/>
        </w:numPr>
        <w:jc w:val="both"/>
        <w:rPr>
          <w:rFonts w:ascii="Times New Roman" w:eastAsia="Times New Roman" w:hAnsi="Times New Roman" w:cs="Times New Roman"/>
          <w:color w:val="000000"/>
          <w:sz w:val="22"/>
          <w:szCs w:val="22"/>
        </w:rPr>
      </w:pPr>
      <w:r w:rsidRPr="00435617">
        <w:rPr>
          <w:rFonts w:ascii="Times New Roman" w:eastAsia="Times New Roman" w:hAnsi="Times New Roman" w:cs="Times New Roman"/>
          <w:color w:val="000000"/>
          <w:sz w:val="22"/>
          <w:szCs w:val="22"/>
        </w:rPr>
        <w:t>Experience of working with public agencies and institutions</w:t>
      </w:r>
      <w:r w:rsidR="00710022">
        <w:rPr>
          <w:rFonts w:ascii="Times New Roman" w:eastAsia="Times New Roman" w:hAnsi="Times New Roman" w:cs="Times New Roman"/>
          <w:color w:val="000000"/>
          <w:sz w:val="22"/>
          <w:szCs w:val="22"/>
        </w:rPr>
        <w:t xml:space="preserve"> will be an asset</w:t>
      </w:r>
      <w:r w:rsidR="005D2732">
        <w:rPr>
          <w:rFonts w:ascii="Times New Roman" w:eastAsia="Times New Roman" w:hAnsi="Times New Roman" w:cs="Times New Roman"/>
          <w:color w:val="000000"/>
          <w:sz w:val="22"/>
          <w:szCs w:val="22"/>
        </w:rPr>
        <w:t>;</w:t>
      </w:r>
    </w:p>
    <w:p w14:paraId="46F92F68" w14:textId="4BA58A1A" w:rsidR="00B44256" w:rsidRPr="00435617" w:rsidRDefault="00B44256" w:rsidP="00B44256">
      <w:pPr>
        <w:pStyle w:val="ListeParagraf"/>
        <w:numPr>
          <w:ilvl w:val="0"/>
          <w:numId w:val="9"/>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Pr="00B44256">
        <w:rPr>
          <w:rFonts w:ascii="Times New Roman" w:eastAsia="Times New Roman" w:hAnsi="Times New Roman" w:cs="Times New Roman"/>
          <w:color w:val="000000"/>
          <w:sz w:val="22"/>
          <w:szCs w:val="22"/>
        </w:rPr>
        <w:t>he specialist must have experience in stakeholder engagement and communication</w:t>
      </w:r>
    </w:p>
    <w:p w14:paraId="0DC70DF0" w14:textId="29634618" w:rsidR="00CF23A6" w:rsidRPr="00435617" w:rsidRDefault="00FB0DA3" w:rsidP="00CF23A6">
      <w:pPr>
        <w:pStyle w:val="ListeParagraf"/>
        <w:numPr>
          <w:ilvl w:val="0"/>
          <w:numId w:val="9"/>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Good command of spoken and in written Turkish and English</w:t>
      </w:r>
    </w:p>
    <w:p w14:paraId="461910E9" w14:textId="6084DCBC" w:rsidR="00BD2A59" w:rsidRDefault="007E4CAD" w:rsidP="00435617">
      <w:pPr>
        <w:pStyle w:val="ListeParagraf"/>
        <w:numPr>
          <w:ilvl w:val="0"/>
          <w:numId w:val="9"/>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Ability to travel without restriction,</w:t>
      </w:r>
    </w:p>
    <w:p w14:paraId="272A26C0" w14:textId="4B0CD375" w:rsidR="00435617" w:rsidRPr="00435617" w:rsidRDefault="00435617" w:rsidP="00435617">
      <w:pPr>
        <w:pStyle w:val="ListeParagraf"/>
        <w:numPr>
          <w:ilvl w:val="0"/>
          <w:numId w:val="9"/>
        </w:numPr>
        <w:jc w:val="both"/>
        <w:rPr>
          <w:rFonts w:ascii="Times New Roman" w:eastAsia="Times New Roman" w:hAnsi="Times New Roman" w:cs="Times New Roman"/>
          <w:color w:val="000000"/>
          <w:sz w:val="22"/>
          <w:szCs w:val="22"/>
        </w:rPr>
      </w:pPr>
      <w:r w:rsidRPr="00435617">
        <w:rPr>
          <w:rFonts w:ascii="Times New Roman" w:eastAsia="Times New Roman" w:hAnsi="Times New Roman" w:cs="Times New Roman"/>
          <w:color w:val="000000"/>
          <w:sz w:val="22"/>
          <w:szCs w:val="22"/>
        </w:rPr>
        <w:t>Teamwork skills,</w:t>
      </w:r>
      <w:bookmarkStart w:id="0" w:name="_GoBack"/>
      <w:bookmarkEnd w:id="0"/>
    </w:p>
    <w:p w14:paraId="171D49A0" w14:textId="77777777" w:rsidR="00435617" w:rsidRPr="00435617" w:rsidRDefault="00435617" w:rsidP="00435617">
      <w:pPr>
        <w:pStyle w:val="ListeParagraf"/>
        <w:numPr>
          <w:ilvl w:val="0"/>
          <w:numId w:val="9"/>
        </w:numPr>
        <w:jc w:val="both"/>
        <w:rPr>
          <w:rFonts w:ascii="Times New Roman" w:eastAsia="Times New Roman" w:hAnsi="Times New Roman" w:cs="Times New Roman"/>
          <w:color w:val="000000"/>
          <w:sz w:val="22"/>
          <w:szCs w:val="22"/>
        </w:rPr>
      </w:pPr>
      <w:r w:rsidRPr="00435617">
        <w:rPr>
          <w:rFonts w:ascii="Times New Roman" w:eastAsia="Times New Roman" w:hAnsi="Times New Roman" w:cs="Times New Roman"/>
          <w:color w:val="000000"/>
          <w:sz w:val="22"/>
          <w:szCs w:val="22"/>
        </w:rPr>
        <w:t>Analytical thinking and problem solving skills,</w:t>
      </w:r>
    </w:p>
    <w:p w14:paraId="287A87EA" w14:textId="2DB9877D" w:rsidR="00435617" w:rsidRPr="00435617" w:rsidRDefault="00741003" w:rsidP="00435617">
      <w:pPr>
        <w:pStyle w:val="ListeParagraf"/>
        <w:numPr>
          <w:ilvl w:val="0"/>
          <w:numId w:val="9"/>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w:t>
      </w:r>
      <w:r w:rsidRPr="00294914">
        <w:rPr>
          <w:rFonts w:ascii="Times New Roman" w:eastAsia="Times New Roman" w:hAnsi="Times New Roman" w:cs="Times New Roman"/>
          <w:color w:val="000000"/>
          <w:sz w:val="22"/>
          <w:szCs w:val="22"/>
        </w:rPr>
        <w:t>ilitary obligations completed for male candidates</w:t>
      </w:r>
      <w:r w:rsidR="00435617" w:rsidRPr="00435617">
        <w:rPr>
          <w:rFonts w:ascii="Times New Roman" w:eastAsia="Times New Roman" w:hAnsi="Times New Roman" w:cs="Times New Roman"/>
          <w:color w:val="000000"/>
          <w:sz w:val="22"/>
          <w:szCs w:val="22"/>
        </w:rPr>
        <w:t>.</w:t>
      </w:r>
    </w:p>
    <w:p w14:paraId="7FBCF638" w14:textId="77777777" w:rsidR="00435617" w:rsidRPr="00435617" w:rsidRDefault="00435617" w:rsidP="00435617">
      <w:pPr>
        <w:jc w:val="both"/>
        <w:rPr>
          <w:rFonts w:ascii="Times New Roman" w:eastAsia="Times New Roman" w:hAnsi="Times New Roman" w:cs="Times New Roman"/>
          <w:color w:val="000000"/>
          <w:sz w:val="22"/>
          <w:szCs w:val="22"/>
        </w:rPr>
      </w:pPr>
    </w:p>
    <w:p w14:paraId="2BD8C419" w14:textId="77777777" w:rsidR="00010859" w:rsidRPr="00235140" w:rsidRDefault="00010859" w:rsidP="00B072C7">
      <w:pPr>
        <w:jc w:val="both"/>
        <w:rPr>
          <w:rFonts w:ascii="Times New Roman" w:eastAsia="Times New Roman" w:hAnsi="Times New Roman" w:cs="Times New Roman"/>
          <w:sz w:val="22"/>
          <w:szCs w:val="22"/>
        </w:rPr>
      </w:pPr>
    </w:p>
    <w:p w14:paraId="35E7CBA6" w14:textId="5EA8A50F" w:rsidR="00010859" w:rsidRDefault="00010859" w:rsidP="00B072C7">
      <w:pPr>
        <w:pStyle w:val="ListeParagraf"/>
        <w:numPr>
          <w:ilvl w:val="0"/>
          <w:numId w:val="8"/>
        </w:numPr>
        <w:jc w:val="both"/>
        <w:rPr>
          <w:rFonts w:ascii="Times New Roman" w:eastAsia="Times New Roman" w:hAnsi="Times New Roman" w:cs="Times New Roman"/>
          <w:b/>
          <w:bCs/>
          <w:sz w:val="24"/>
          <w:szCs w:val="24"/>
        </w:rPr>
      </w:pPr>
      <w:r w:rsidRPr="00B072C7">
        <w:rPr>
          <w:rFonts w:ascii="Times New Roman" w:eastAsia="Times New Roman" w:hAnsi="Times New Roman" w:cs="Times New Roman"/>
          <w:b/>
          <w:bCs/>
          <w:sz w:val="24"/>
          <w:szCs w:val="24"/>
        </w:rPr>
        <w:t>Duties and Responsibilities</w:t>
      </w:r>
    </w:p>
    <w:p w14:paraId="06D11695" w14:textId="77777777" w:rsidR="00B072C7" w:rsidRPr="00B072C7" w:rsidRDefault="00B072C7" w:rsidP="00B072C7">
      <w:pPr>
        <w:pStyle w:val="ListeParagraf"/>
        <w:ind w:left="364"/>
        <w:jc w:val="both"/>
        <w:rPr>
          <w:rFonts w:ascii="Times New Roman" w:eastAsia="Times New Roman" w:hAnsi="Times New Roman" w:cs="Times New Roman"/>
          <w:b/>
          <w:bCs/>
          <w:sz w:val="24"/>
          <w:szCs w:val="24"/>
        </w:rPr>
      </w:pPr>
    </w:p>
    <w:p w14:paraId="66B4F9E6" w14:textId="418F93A9" w:rsidR="0007061D" w:rsidRPr="008C0E36" w:rsidRDefault="0007061D" w:rsidP="008C0E36">
      <w:pPr>
        <w:jc w:val="both"/>
        <w:rPr>
          <w:rFonts w:ascii="Times New Roman" w:eastAsia="Times New Roman" w:hAnsi="Times New Roman" w:cs="Times New Roman"/>
          <w:sz w:val="22"/>
          <w:szCs w:val="22"/>
        </w:rPr>
      </w:pPr>
      <w:bookmarkStart w:id="1" w:name="30j0zll" w:colFirst="0" w:colLast="0"/>
      <w:bookmarkEnd w:id="1"/>
      <w:r w:rsidRPr="008C0E36">
        <w:rPr>
          <w:rFonts w:ascii="Times New Roman" w:eastAsia="Times New Roman" w:hAnsi="Times New Roman" w:cs="Times New Roman"/>
          <w:sz w:val="22"/>
          <w:szCs w:val="22"/>
        </w:rPr>
        <w:t xml:space="preserve">The </w:t>
      </w:r>
      <w:r w:rsidR="00D905CF">
        <w:rPr>
          <w:rFonts w:ascii="Times New Roman" w:eastAsia="Times New Roman" w:hAnsi="Times New Roman" w:cs="Times New Roman"/>
          <w:sz w:val="22"/>
          <w:szCs w:val="22"/>
        </w:rPr>
        <w:t xml:space="preserve">Social Safeguard Specialist </w:t>
      </w:r>
      <w:r>
        <w:rPr>
          <w:rFonts w:ascii="Times New Roman" w:eastAsia="Times New Roman" w:hAnsi="Times New Roman" w:cs="Times New Roman"/>
          <w:sz w:val="22"/>
          <w:szCs w:val="22"/>
        </w:rPr>
        <w:t xml:space="preserve">will </w:t>
      </w:r>
      <w:r w:rsidRPr="008C0E36">
        <w:rPr>
          <w:rFonts w:ascii="Times New Roman" w:eastAsia="Times New Roman" w:hAnsi="Times New Roman" w:cs="Times New Roman"/>
          <w:sz w:val="22"/>
          <w:szCs w:val="22"/>
        </w:rPr>
        <w:t>support P</w:t>
      </w:r>
      <w:r>
        <w:rPr>
          <w:rFonts w:ascii="Times New Roman" w:eastAsia="Times New Roman" w:hAnsi="Times New Roman" w:cs="Times New Roman"/>
          <w:sz w:val="22"/>
          <w:szCs w:val="22"/>
        </w:rPr>
        <w:t>C</w:t>
      </w:r>
      <w:r w:rsidRPr="008C0E36">
        <w:rPr>
          <w:rFonts w:ascii="Times New Roman" w:eastAsia="Times New Roman" w:hAnsi="Times New Roman" w:cs="Times New Roman"/>
          <w:sz w:val="22"/>
          <w:szCs w:val="22"/>
        </w:rPr>
        <w:t>U</w:t>
      </w:r>
      <w:r>
        <w:rPr>
          <w:rFonts w:ascii="Times New Roman" w:eastAsia="Times New Roman" w:hAnsi="Times New Roman" w:cs="Times New Roman"/>
          <w:sz w:val="22"/>
          <w:szCs w:val="22"/>
        </w:rPr>
        <w:t xml:space="preserve"> and RSTs</w:t>
      </w:r>
      <w:r w:rsidRPr="008C0E36">
        <w:rPr>
          <w:rFonts w:ascii="Times New Roman" w:eastAsia="Times New Roman" w:hAnsi="Times New Roman" w:cs="Times New Roman"/>
          <w:sz w:val="22"/>
          <w:szCs w:val="22"/>
        </w:rPr>
        <w:t xml:space="preserve"> </w:t>
      </w:r>
      <w:r w:rsidR="00D905CF" w:rsidRPr="00D905CF">
        <w:rPr>
          <w:rFonts w:ascii="Times New Roman" w:eastAsia="Times New Roman" w:hAnsi="Times New Roman" w:cs="Times New Roman"/>
          <w:sz w:val="22"/>
          <w:szCs w:val="22"/>
        </w:rPr>
        <w:t>in monitoring and evaluation</w:t>
      </w:r>
      <w:r w:rsidR="00546F20">
        <w:rPr>
          <w:rFonts w:ascii="Times New Roman" w:eastAsia="Times New Roman" w:hAnsi="Times New Roman" w:cs="Times New Roman"/>
          <w:sz w:val="22"/>
          <w:szCs w:val="22"/>
        </w:rPr>
        <w:t xml:space="preserve"> of</w:t>
      </w:r>
      <w:r w:rsidR="00D905CF" w:rsidRPr="00D905CF">
        <w:rPr>
          <w:rFonts w:ascii="Times New Roman" w:eastAsia="Times New Roman" w:hAnsi="Times New Roman" w:cs="Times New Roman"/>
          <w:sz w:val="22"/>
          <w:szCs w:val="22"/>
        </w:rPr>
        <w:t xml:space="preserve"> social activities within the scope of the Project. The scope of the services of the </w:t>
      </w:r>
      <w:r w:rsidR="00B31B48">
        <w:rPr>
          <w:rFonts w:ascii="Times New Roman" w:eastAsia="Times New Roman" w:hAnsi="Times New Roman" w:cs="Times New Roman"/>
          <w:sz w:val="22"/>
          <w:szCs w:val="22"/>
        </w:rPr>
        <w:t>Soc</w:t>
      </w:r>
      <w:r w:rsidR="00B31B48">
        <w:rPr>
          <w:rFonts w:ascii="Times New Roman" w:eastAsia="Times New Roman" w:hAnsi="Times New Roman" w:cs="Times New Roman"/>
          <w:sz w:val="22"/>
          <w:szCs w:val="22"/>
          <w:lang w:val="en-US"/>
        </w:rPr>
        <w:t>ial Safeguard Specialist</w:t>
      </w:r>
      <w:r w:rsidR="00B31B48" w:rsidRPr="00D905CF">
        <w:rPr>
          <w:rFonts w:ascii="Times New Roman" w:eastAsia="Times New Roman" w:hAnsi="Times New Roman" w:cs="Times New Roman"/>
          <w:sz w:val="22"/>
          <w:szCs w:val="22"/>
        </w:rPr>
        <w:t xml:space="preserve"> </w:t>
      </w:r>
      <w:r w:rsidR="00D905CF" w:rsidRPr="00D905CF">
        <w:rPr>
          <w:rFonts w:ascii="Times New Roman" w:eastAsia="Times New Roman" w:hAnsi="Times New Roman" w:cs="Times New Roman"/>
          <w:sz w:val="22"/>
          <w:szCs w:val="22"/>
        </w:rPr>
        <w:t>is to provide assistance and consultancy for the identification and management of all social issues related to the Project, and in particular:</w:t>
      </w:r>
    </w:p>
    <w:p w14:paraId="22AD6C81" w14:textId="77777777" w:rsidR="0007061D" w:rsidRDefault="0007061D" w:rsidP="0007061D">
      <w:pPr>
        <w:jc w:val="both"/>
        <w:rPr>
          <w:rFonts w:ascii="Times New Roman" w:eastAsia="Times New Roman" w:hAnsi="Times New Roman" w:cs="Times New Roman"/>
          <w:sz w:val="22"/>
          <w:szCs w:val="22"/>
        </w:rPr>
      </w:pPr>
    </w:p>
    <w:p w14:paraId="1CCA6B4F" w14:textId="149898FE" w:rsidR="00885E79" w:rsidRDefault="00885E79" w:rsidP="00885E79">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Work in close collaboration with the Environmental Safeguards Specialist of the PCU and all other relevant experts during project implementation;</w:t>
      </w:r>
    </w:p>
    <w:p w14:paraId="0B6A95C4" w14:textId="77777777" w:rsidR="000512C3" w:rsidRDefault="000512C3" w:rsidP="000512C3">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Ensure the Project and all its sub-projects are implemented in accordance with the requirements of Turkish Legislation and the World Bank’s Environmental and Social Framework (ESF), as well as in accordance with all ESF documents prepared for the project/sub-projects; Environmental and Social Management Framework (ESMF), Labor Management Procedures (LMP), Stakeholder Engagement Plans (SEPs), Resettlement Framework (RF), site specific Resettlement Plans (RPs) and Ex-post Social Audits, Environmental and Social Impact Assessment (ESIA) reports, site-specific Environmental and Social Management Plans (ESMPs), and any other sub-management plans;</w:t>
      </w:r>
    </w:p>
    <w:p w14:paraId="13003C4C" w14:textId="77777777" w:rsidR="000512C3" w:rsidRDefault="000512C3" w:rsidP="000512C3">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Assist PIUs in undertaking the screening process of the sub-projects regarding E&amp;S risk categorization according to the World Bank’s ESF requirements to ensure all potential social impacts are identified and addressed under applicable RPs/Ex-Post Audits/ESMPs</w:t>
      </w:r>
      <w:bookmarkStart w:id="2" w:name="_Hlk42003507"/>
      <w:r>
        <w:rPr>
          <w:rFonts w:ascii="Times New Roman" w:eastAsia="Times New Roman" w:hAnsi="Times New Roman" w:cs="Times New Roman"/>
          <w:sz w:val="22"/>
          <w:szCs w:val="22"/>
        </w:rPr>
        <w:t xml:space="preserve"> </w:t>
      </w:r>
      <w:bookmarkEnd w:id="2"/>
      <w:r>
        <w:rPr>
          <w:rFonts w:ascii="Times New Roman" w:eastAsia="Times New Roman" w:hAnsi="Times New Roman" w:cs="Times New Roman"/>
          <w:sz w:val="22"/>
          <w:szCs w:val="22"/>
        </w:rPr>
        <w:t>and implemented prior and during civil works. In particular, ensure that vulnerable and disadvantaged groups are identified, and differentiated measures are taken to protect them for being disproportionately affected by the project, and ensure their equal participation in project benefits;</w:t>
      </w:r>
    </w:p>
    <w:p w14:paraId="0B15FD04" w14:textId="77777777" w:rsidR="000512C3" w:rsidRDefault="000512C3" w:rsidP="000512C3">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Support the capacity strengthening at regional level (PDs/RDs, Contractors, etc.) regarding the World Bank’s Environmental and Social Standards (ESSs) including E&amp;S assessment standards and procedures, and implementation of relevant environmental and social assessment (ESA) documents on site;</w:t>
      </w:r>
    </w:p>
    <w:p w14:paraId="0B01F682" w14:textId="0ECA91EF" w:rsidR="00897022" w:rsidRPr="003C6B6C" w:rsidRDefault="00897022" w:rsidP="00897022">
      <w:pPr>
        <w:pStyle w:val="ListeParagraf"/>
        <w:numPr>
          <w:ilvl w:val="0"/>
          <w:numId w:val="15"/>
        </w:numPr>
        <w:jc w:val="both"/>
        <w:rPr>
          <w:rFonts w:ascii="Times New Roman" w:eastAsia="Times New Roman" w:hAnsi="Times New Roman" w:cs="Times New Roman"/>
          <w:sz w:val="22"/>
          <w:szCs w:val="22"/>
        </w:rPr>
      </w:pPr>
      <w:r w:rsidRPr="00897022">
        <w:rPr>
          <w:rFonts w:ascii="Times New Roman" w:eastAsia="Times New Roman" w:hAnsi="Times New Roman" w:cs="Times New Roman"/>
          <w:sz w:val="22"/>
          <w:szCs w:val="22"/>
          <w:lang w:val="en-US"/>
        </w:rPr>
        <w:t>Performing Environmental and Social screening and preparation of necessary Environmental and Social Management Plans, when necessary, in accordance with the Environmental and Social Framework documents;</w:t>
      </w:r>
    </w:p>
    <w:p w14:paraId="659827EA" w14:textId="170DE474" w:rsidR="000512C3" w:rsidRDefault="000512C3" w:rsidP="000512C3">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Technically support and supervise PDs/RDs in their ESF procedures such as guidance on the World Bank’s ESS requirements and E&amp;S assessment standards and procedures, monitoring of E&amp;S issues at construction sites, etc.;</w:t>
      </w:r>
    </w:p>
    <w:p w14:paraId="19403552" w14:textId="304C10E2" w:rsidR="000512C3" w:rsidRDefault="000512C3" w:rsidP="000512C3">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 xml:space="preserve">Be open and responsive to concerns raised by affected groups and local authorities (in collaboration with the environmental safeguards </w:t>
      </w:r>
      <w:r w:rsidR="00170EF8">
        <w:rPr>
          <w:rFonts w:ascii="Times New Roman" w:eastAsia="Times New Roman" w:hAnsi="Times New Roman" w:cs="Times New Roman"/>
          <w:sz w:val="22"/>
          <w:szCs w:val="22"/>
          <w:lang w:val="en-US"/>
        </w:rPr>
        <w:t>specialist</w:t>
      </w:r>
      <w:r>
        <w:rPr>
          <w:rFonts w:ascii="Times New Roman" w:eastAsia="Times New Roman" w:hAnsi="Times New Roman" w:cs="Times New Roman"/>
          <w:sz w:val="22"/>
          <w:szCs w:val="22"/>
          <w:lang w:val="en-US"/>
        </w:rPr>
        <w:t>) regarding social aspects of sub-project implementation. Meet with these groups during site visits, as necessary;</w:t>
      </w:r>
    </w:p>
    <w:p w14:paraId="2BD0B900" w14:textId="3C209EA6" w:rsidR="00D905CF" w:rsidRPr="008C0E36" w:rsidRDefault="000512C3"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Supervise</w:t>
      </w:r>
      <w:r w:rsidR="002E61B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m</w:t>
      </w:r>
      <w:r w:rsidR="00D905CF" w:rsidRPr="008C0E36">
        <w:rPr>
          <w:rFonts w:ascii="Times New Roman" w:eastAsia="Times New Roman" w:hAnsi="Times New Roman" w:cs="Times New Roman"/>
          <w:sz w:val="22"/>
          <w:szCs w:val="22"/>
        </w:rPr>
        <w:t xml:space="preserve">onitor </w:t>
      </w:r>
      <w:r w:rsidR="002E61B2">
        <w:rPr>
          <w:rFonts w:ascii="Times New Roman" w:eastAsia="Times New Roman" w:hAnsi="Times New Roman" w:cs="Times New Roman"/>
          <w:sz w:val="22"/>
          <w:szCs w:val="22"/>
        </w:rPr>
        <w:t xml:space="preserve">and control </w:t>
      </w:r>
      <w:r w:rsidR="00D905CF" w:rsidRPr="008C0E36">
        <w:rPr>
          <w:rFonts w:ascii="Times New Roman" w:eastAsia="Times New Roman" w:hAnsi="Times New Roman" w:cs="Times New Roman"/>
          <w:sz w:val="22"/>
          <w:szCs w:val="22"/>
        </w:rPr>
        <w:t xml:space="preserve">the social performance of the Project activities </w:t>
      </w:r>
      <w:r w:rsidR="00736BCB">
        <w:rPr>
          <w:rFonts w:ascii="Times New Roman" w:eastAsia="Times New Roman" w:hAnsi="Times New Roman" w:cs="Times New Roman"/>
          <w:sz w:val="22"/>
          <w:szCs w:val="22"/>
        </w:rPr>
        <w:t xml:space="preserve">and the </w:t>
      </w:r>
      <w:r w:rsidR="00C713F5">
        <w:rPr>
          <w:rFonts w:ascii="Times New Roman" w:eastAsia="Times New Roman" w:hAnsi="Times New Roman" w:cs="Times New Roman"/>
          <w:sz w:val="22"/>
          <w:szCs w:val="22"/>
        </w:rPr>
        <w:t xml:space="preserve">Work Supervisor(s) </w:t>
      </w:r>
      <w:r w:rsidR="000B521A">
        <w:rPr>
          <w:rFonts w:ascii="Times New Roman" w:eastAsia="Times New Roman" w:hAnsi="Times New Roman" w:cs="Times New Roman"/>
          <w:sz w:val="22"/>
          <w:szCs w:val="22"/>
          <w:lang w:val="en-US"/>
        </w:rPr>
        <w:t xml:space="preserve">as well as the grant programs to be implemented by OGM and TRGM, </w:t>
      </w:r>
      <w:r w:rsidR="00D905CF" w:rsidRPr="008C0E36">
        <w:rPr>
          <w:rFonts w:ascii="Times New Roman" w:eastAsia="Times New Roman" w:hAnsi="Times New Roman" w:cs="Times New Roman"/>
          <w:sz w:val="22"/>
          <w:szCs w:val="22"/>
        </w:rPr>
        <w:t xml:space="preserve">as defined in </w:t>
      </w:r>
      <w:r w:rsidR="00D905CF" w:rsidRPr="008C0E36">
        <w:rPr>
          <w:rFonts w:ascii="Times New Roman" w:eastAsia="Times New Roman" w:hAnsi="Times New Roman" w:cs="Times New Roman"/>
          <w:sz w:val="22"/>
          <w:szCs w:val="22"/>
        </w:rPr>
        <w:lastRenderedPageBreak/>
        <w:t xml:space="preserve">the Project documents; namely Environmental and Social Management Framework (ESMF); Resettlement Framework (RF), ESIA/ESMPs, SEPs, Resettlement Plans /Ex-post Social Audits; </w:t>
      </w:r>
    </w:p>
    <w:p w14:paraId="3D84CE06" w14:textId="77777777" w:rsidR="004E090F" w:rsidRDefault="004E090F" w:rsidP="004E090F">
      <w:pPr>
        <w:pStyle w:val="ListeParagraf"/>
        <w:numPr>
          <w:ilvl w:val="0"/>
          <w:numId w:val="15"/>
        </w:num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Ensure that all approvals/licenses are in place prior to carrying out the project activities and make sure all the records are kept accurately including the permits collected by the Contractor/s;</w:t>
      </w:r>
    </w:p>
    <w:p w14:paraId="3C673108" w14:textId="77777777" w:rsidR="009B3BDA" w:rsidRDefault="009B3BDA" w:rsidP="009B3BDA">
      <w:pPr>
        <w:pStyle w:val="ListeParagraf"/>
        <w:numPr>
          <w:ilvl w:val="0"/>
          <w:numId w:val="15"/>
        </w:num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Ensure that relevant environmental and social procedures in line with national legislation and the World Bank Environmental and Social Framework (ESF) are conducted in case of any change in the design of the sub-projects, if deemed necessary, and follow up on their implementation;</w:t>
      </w:r>
    </w:p>
    <w:p w14:paraId="7C438352" w14:textId="0690FDB1" w:rsidR="009B3BDA" w:rsidRDefault="009B3BDA" w:rsidP="009B3BDA">
      <w:pPr>
        <w:pStyle w:val="ListeParagraf"/>
        <w:numPr>
          <w:ilvl w:val="0"/>
          <w:numId w:val="15"/>
        </w:num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Keep the PCU management fully informed about environmental related topics and monthly </w:t>
      </w:r>
      <w:r w:rsidR="00EC5E4D">
        <w:rPr>
          <w:rFonts w:ascii="Times New Roman" w:eastAsia="Times New Roman" w:hAnsi="Times New Roman" w:cs="Times New Roman"/>
          <w:sz w:val="22"/>
          <w:szCs w:val="22"/>
          <w:lang w:val="en-US"/>
        </w:rPr>
        <w:t>social</w:t>
      </w:r>
      <w:r>
        <w:rPr>
          <w:rFonts w:ascii="Times New Roman" w:eastAsia="Times New Roman" w:hAnsi="Times New Roman" w:cs="Times New Roman"/>
          <w:sz w:val="22"/>
          <w:szCs w:val="22"/>
          <w:lang w:val="en-US"/>
        </w:rPr>
        <w:t xml:space="preserve"> performance; </w:t>
      </w:r>
    </w:p>
    <w:p w14:paraId="01560D45" w14:textId="0DF61997"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00D905CF" w:rsidRPr="008C0E36">
        <w:rPr>
          <w:rFonts w:ascii="Times New Roman" w:eastAsia="Times New Roman" w:hAnsi="Times New Roman" w:cs="Times New Roman"/>
          <w:sz w:val="22"/>
          <w:szCs w:val="22"/>
        </w:rPr>
        <w:t>nticipate/identify social risks and define measures to adopt a mitigation hierarchy approach (avoid, minimize, reduce, compensate/offset of these risks and impacts)</w:t>
      </w:r>
      <w:r w:rsidR="00A47C8A" w:rsidRPr="00A47C8A">
        <w:rPr>
          <w:rFonts w:ascii="Times New Roman" w:eastAsia="Times New Roman" w:hAnsi="Times New Roman" w:cs="Times New Roman"/>
          <w:sz w:val="22"/>
          <w:szCs w:val="22"/>
          <w:lang w:val="en-US"/>
        </w:rPr>
        <w:t xml:space="preserve"> </w:t>
      </w:r>
      <w:r w:rsidR="00A47C8A">
        <w:rPr>
          <w:rFonts w:ascii="Times New Roman" w:eastAsia="Times New Roman" w:hAnsi="Times New Roman" w:cs="Times New Roman"/>
          <w:sz w:val="22"/>
          <w:szCs w:val="22"/>
          <w:lang w:val="en-US"/>
        </w:rPr>
        <w:t>in case of not defined risks in the Project document have been faced</w:t>
      </w:r>
      <w:r w:rsidR="00D905CF" w:rsidRPr="008C0E36">
        <w:rPr>
          <w:rFonts w:ascii="Times New Roman" w:eastAsia="Times New Roman" w:hAnsi="Times New Roman" w:cs="Times New Roman"/>
          <w:sz w:val="22"/>
          <w:szCs w:val="22"/>
        </w:rPr>
        <w:t xml:space="preserve">; </w:t>
      </w:r>
    </w:p>
    <w:p w14:paraId="5D47C27E" w14:textId="43C6D679"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00D905CF" w:rsidRPr="008C0E36">
        <w:rPr>
          <w:rFonts w:ascii="Times New Roman" w:eastAsia="Times New Roman" w:hAnsi="Times New Roman" w:cs="Times New Roman"/>
          <w:sz w:val="22"/>
          <w:szCs w:val="22"/>
        </w:rPr>
        <w:t>ssist in the preparation of social assessment issues of tender documents for the coverage of social risks and their management; in particular, support the relevant stakeholders in the finalization of the ESHS qualification criteria in the bidding documents;</w:t>
      </w:r>
    </w:p>
    <w:p w14:paraId="24FD3EFB" w14:textId="7BF1576E"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D905CF" w:rsidRPr="008C0E36">
        <w:rPr>
          <w:rFonts w:ascii="Times New Roman" w:eastAsia="Times New Roman" w:hAnsi="Times New Roman" w:cs="Times New Roman"/>
          <w:sz w:val="22"/>
          <w:szCs w:val="22"/>
        </w:rPr>
        <w:t>onitor the compliance of Project activities are consistent with the requirements of Turkish Legislation and the Project Standards set by the World Bank Environmental and Social Framework (ESF) and check that all approvals/licenses are in place prior to carrying out the Project activities and make sure all records are kept accurately including the permits collected by the Contractor/s;</w:t>
      </w:r>
    </w:p>
    <w:p w14:paraId="2265F502" w14:textId="3127D832"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D905CF" w:rsidRPr="008C0E36">
        <w:rPr>
          <w:rFonts w:ascii="Times New Roman" w:eastAsia="Times New Roman" w:hAnsi="Times New Roman" w:cs="Times New Roman"/>
          <w:sz w:val="22"/>
          <w:szCs w:val="22"/>
        </w:rPr>
        <w:t>eep the P</w:t>
      </w:r>
      <w:r w:rsidR="00866299" w:rsidRPr="008C0E36">
        <w:rPr>
          <w:rFonts w:ascii="Times New Roman" w:eastAsia="Times New Roman" w:hAnsi="Times New Roman" w:cs="Times New Roman"/>
          <w:sz w:val="22"/>
          <w:szCs w:val="22"/>
        </w:rPr>
        <w:t>C</w:t>
      </w:r>
      <w:r w:rsidR="00D905CF" w:rsidRPr="008C0E36">
        <w:rPr>
          <w:rFonts w:ascii="Times New Roman" w:eastAsia="Times New Roman" w:hAnsi="Times New Roman" w:cs="Times New Roman"/>
          <w:sz w:val="22"/>
          <w:szCs w:val="22"/>
        </w:rPr>
        <w:t>U</w:t>
      </w:r>
      <w:r w:rsidR="00866299" w:rsidRPr="008C0E36">
        <w:rPr>
          <w:rFonts w:ascii="Times New Roman" w:eastAsia="Times New Roman" w:hAnsi="Times New Roman" w:cs="Times New Roman"/>
          <w:sz w:val="22"/>
          <w:szCs w:val="22"/>
        </w:rPr>
        <w:t xml:space="preserve"> and OGM</w:t>
      </w:r>
      <w:r w:rsidR="00D905CF" w:rsidRPr="008C0E36">
        <w:rPr>
          <w:rFonts w:ascii="Times New Roman" w:eastAsia="Times New Roman" w:hAnsi="Times New Roman" w:cs="Times New Roman"/>
          <w:sz w:val="22"/>
          <w:szCs w:val="22"/>
        </w:rPr>
        <w:t xml:space="preserve"> management fully informed about social performance of the Project activities; </w:t>
      </w:r>
    </w:p>
    <w:p w14:paraId="3C750EB1" w14:textId="64150637" w:rsidR="00D905CF" w:rsidRPr="006067D8" w:rsidRDefault="00882630" w:rsidP="006067D8">
      <w:pPr>
        <w:pStyle w:val="ListeParagraf"/>
        <w:numPr>
          <w:ilvl w:val="0"/>
          <w:numId w:val="15"/>
        </w:numPr>
        <w:jc w:val="both"/>
        <w:rPr>
          <w:rFonts w:ascii="Times New Roman" w:eastAsia="Times New Roman" w:hAnsi="Times New Roman" w:cs="Times New Roman"/>
          <w:sz w:val="22"/>
          <w:szCs w:val="22"/>
        </w:rPr>
      </w:pPr>
      <w:r w:rsidRPr="006067D8">
        <w:rPr>
          <w:rFonts w:ascii="Times New Roman" w:eastAsia="Times New Roman" w:hAnsi="Times New Roman" w:cs="Times New Roman"/>
          <w:sz w:val="22"/>
          <w:szCs w:val="22"/>
        </w:rPr>
        <w:t xml:space="preserve">Provide </w:t>
      </w:r>
      <w:r w:rsidRPr="00A47C8A">
        <w:rPr>
          <w:rFonts w:ascii="Times New Roman" w:eastAsia="Times New Roman" w:hAnsi="Times New Roman" w:cs="Times New Roman"/>
          <w:sz w:val="22"/>
          <w:szCs w:val="22"/>
        </w:rPr>
        <w:t xml:space="preserve">final </w:t>
      </w:r>
      <w:r w:rsidRPr="006067D8">
        <w:rPr>
          <w:rFonts w:ascii="Times New Roman" w:eastAsia="Times New Roman" w:hAnsi="Times New Roman" w:cs="Times New Roman"/>
          <w:sz w:val="22"/>
          <w:szCs w:val="22"/>
        </w:rPr>
        <w:t>r</w:t>
      </w:r>
      <w:r w:rsidR="00D905CF" w:rsidRPr="006067D8">
        <w:rPr>
          <w:rFonts w:ascii="Times New Roman" w:eastAsia="Times New Roman" w:hAnsi="Times New Roman" w:cs="Times New Roman"/>
          <w:sz w:val="22"/>
          <w:szCs w:val="22"/>
        </w:rPr>
        <w:t xml:space="preserve">eview </w:t>
      </w:r>
      <w:r w:rsidR="009256B7" w:rsidRPr="006067D8">
        <w:rPr>
          <w:rFonts w:ascii="Times New Roman" w:eastAsia="Times New Roman" w:hAnsi="Times New Roman" w:cs="Times New Roman"/>
          <w:sz w:val="22"/>
          <w:szCs w:val="22"/>
        </w:rPr>
        <w:t xml:space="preserve">of ESA </w:t>
      </w:r>
      <w:r w:rsidR="00D905CF" w:rsidRPr="006067D8">
        <w:rPr>
          <w:rFonts w:ascii="Times New Roman" w:eastAsia="Times New Roman" w:hAnsi="Times New Roman" w:cs="Times New Roman"/>
          <w:sz w:val="22"/>
          <w:szCs w:val="22"/>
        </w:rPr>
        <w:t>documents</w:t>
      </w:r>
      <w:r w:rsidR="009256B7" w:rsidRPr="006067D8">
        <w:rPr>
          <w:rFonts w:ascii="Times New Roman" w:eastAsia="Times New Roman" w:hAnsi="Times New Roman" w:cs="Times New Roman"/>
          <w:sz w:val="22"/>
          <w:szCs w:val="22"/>
        </w:rPr>
        <w:t xml:space="preserve"> prepared by the PIUs,</w:t>
      </w:r>
      <w:r w:rsidR="009256B7" w:rsidRPr="006067D8" w:rsidDel="009256B7">
        <w:rPr>
          <w:rFonts w:ascii="Times New Roman" w:eastAsia="Times New Roman" w:hAnsi="Times New Roman" w:cs="Times New Roman"/>
          <w:sz w:val="22"/>
          <w:szCs w:val="22"/>
        </w:rPr>
        <w:t xml:space="preserve"> </w:t>
      </w:r>
      <w:r w:rsidR="00D905CF" w:rsidRPr="006067D8">
        <w:rPr>
          <w:rFonts w:ascii="Times New Roman" w:eastAsia="Times New Roman" w:hAnsi="Times New Roman" w:cs="Times New Roman"/>
          <w:sz w:val="22"/>
          <w:szCs w:val="22"/>
        </w:rPr>
        <w:t xml:space="preserve"> prepare comments/recommendations to the P</w:t>
      </w:r>
      <w:r w:rsidR="00866299" w:rsidRPr="006067D8">
        <w:rPr>
          <w:rFonts w:ascii="Times New Roman" w:eastAsia="Times New Roman" w:hAnsi="Times New Roman" w:cs="Times New Roman"/>
          <w:sz w:val="22"/>
          <w:szCs w:val="22"/>
        </w:rPr>
        <w:t>C</w:t>
      </w:r>
      <w:r w:rsidR="00D905CF" w:rsidRPr="006067D8">
        <w:rPr>
          <w:rFonts w:ascii="Times New Roman" w:eastAsia="Times New Roman" w:hAnsi="Times New Roman" w:cs="Times New Roman"/>
          <w:sz w:val="22"/>
          <w:szCs w:val="22"/>
        </w:rPr>
        <w:t>U</w:t>
      </w:r>
      <w:r w:rsidR="006067D8" w:rsidRPr="006067D8">
        <w:rPr>
          <w:rFonts w:ascii="Times New Roman" w:eastAsia="Times New Roman" w:hAnsi="Times New Roman" w:cs="Times New Roman"/>
          <w:sz w:val="22"/>
          <w:szCs w:val="22"/>
        </w:rPr>
        <w:t>, PIUs</w:t>
      </w:r>
      <w:r w:rsidR="00866299" w:rsidRPr="006067D8">
        <w:rPr>
          <w:rFonts w:ascii="Times New Roman" w:eastAsia="Times New Roman" w:hAnsi="Times New Roman" w:cs="Times New Roman"/>
          <w:sz w:val="22"/>
          <w:szCs w:val="22"/>
        </w:rPr>
        <w:t xml:space="preserve"> and</w:t>
      </w:r>
      <w:r w:rsidR="006067D8" w:rsidRPr="006067D8">
        <w:rPr>
          <w:rFonts w:ascii="Times New Roman" w:eastAsia="Times New Roman" w:hAnsi="Times New Roman" w:cs="Times New Roman"/>
          <w:sz w:val="22"/>
          <w:szCs w:val="22"/>
        </w:rPr>
        <w:t>/or</w:t>
      </w:r>
      <w:r w:rsidR="00866299" w:rsidRPr="006067D8">
        <w:rPr>
          <w:rFonts w:ascii="Times New Roman" w:eastAsia="Times New Roman" w:hAnsi="Times New Roman" w:cs="Times New Roman"/>
          <w:sz w:val="22"/>
          <w:szCs w:val="22"/>
        </w:rPr>
        <w:t xml:space="preserve"> OGM</w:t>
      </w:r>
      <w:r w:rsidR="00D905CF" w:rsidRPr="006067D8">
        <w:rPr>
          <w:rFonts w:ascii="Times New Roman" w:eastAsia="Times New Roman" w:hAnsi="Times New Roman" w:cs="Times New Roman"/>
          <w:sz w:val="22"/>
          <w:szCs w:val="22"/>
        </w:rPr>
        <w:t xml:space="preserve"> management and/or relevant stakeholders</w:t>
      </w:r>
      <w:r w:rsidR="006067D8" w:rsidRPr="006067D8">
        <w:rPr>
          <w:rFonts w:ascii="Times New Roman" w:eastAsia="Times New Roman" w:hAnsi="Times New Roman" w:cs="Times New Roman"/>
          <w:sz w:val="22"/>
          <w:szCs w:val="22"/>
          <w:lang w:val="en-US"/>
        </w:rPr>
        <w:t>and take necessary actions to provide the required quality of these documents/reports before the submission to the World Bank and provide approvals as per WB’s ESSs requirements;</w:t>
      </w:r>
    </w:p>
    <w:p w14:paraId="71C16248" w14:textId="35F158D5"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00D905CF" w:rsidRPr="008C0E36">
        <w:rPr>
          <w:rFonts w:ascii="Times New Roman" w:eastAsia="Times New Roman" w:hAnsi="Times New Roman" w:cs="Times New Roman"/>
          <w:sz w:val="22"/>
          <w:szCs w:val="22"/>
        </w:rPr>
        <w:t>eview, revise and consolidate ESIA, ESMP, RPs, Ex-post social audits, SEPs, procedures/method statements for site-specific issues in line with Turkish Legislation and the World Bank Environmental and Social Framework (ESF);</w:t>
      </w:r>
    </w:p>
    <w:p w14:paraId="571650D3" w14:textId="28422CD0" w:rsidR="003A0985" w:rsidRDefault="003A0985" w:rsidP="003A0985">
      <w:pPr>
        <w:pStyle w:val="ListeParagraf"/>
        <w:numPr>
          <w:ilvl w:val="0"/>
          <w:numId w:val="15"/>
        </w:num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Assist in the preparation of social assessment issues of tender documents for the coverage of the </w:t>
      </w:r>
      <w:r w:rsidR="00882630">
        <w:rPr>
          <w:rFonts w:ascii="Times New Roman" w:eastAsia="Times New Roman" w:hAnsi="Times New Roman" w:cs="Times New Roman"/>
          <w:sz w:val="22"/>
          <w:szCs w:val="22"/>
          <w:lang w:val="en-US"/>
        </w:rPr>
        <w:t>social</w:t>
      </w:r>
      <w:r>
        <w:rPr>
          <w:rFonts w:ascii="Times New Roman" w:eastAsia="Times New Roman" w:hAnsi="Times New Roman" w:cs="Times New Roman"/>
          <w:sz w:val="22"/>
          <w:szCs w:val="22"/>
          <w:lang w:val="en-US"/>
        </w:rPr>
        <w:t xml:space="preserve"> risks and their management; in particular, support the relevant stakeholders in the finalization of the ESHS qualification criteria in the bidding documents;</w:t>
      </w:r>
    </w:p>
    <w:p w14:paraId="22E45706" w14:textId="51DDBEA3"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D905CF" w:rsidRPr="008C0E36">
        <w:rPr>
          <w:rFonts w:ascii="Times New Roman" w:eastAsia="Times New Roman" w:hAnsi="Times New Roman" w:cs="Times New Roman"/>
          <w:sz w:val="22"/>
          <w:szCs w:val="22"/>
        </w:rPr>
        <w:t>ake sure</w:t>
      </w:r>
      <w:r w:rsidR="005F58F6">
        <w:rPr>
          <w:rFonts w:ascii="Times New Roman" w:eastAsia="Times New Roman" w:hAnsi="Times New Roman" w:cs="Times New Roman"/>
          <w:sz w:val="22"/>
          <w:szCs w:val="22"/>
        </w:rPr>
        <w:t xml:space="preserve"> </w:t>
      </w:r>
      <w:r w:rsidR="005F58F6">
        <w:rPr>
          <w:rFonts w:ascii="Times New Roman" w:eastAsia="Times New Roman" w:hAnsi="Times New Roman" w:cs="Times New Roman"/>
          <w:sz w:val="22"/>
          <w:szCs w:val="22"/>
          <w:lang w:val="en-US"/>
        </w:rPr>
        <w:t>(including close monitoring and supervision)</w:t>
      </w:r>
      <w:r w:rsidR="00D905CF" w:rsidRPr="008C0E36">
        <w:rPr>
          <w:rFonts w:ascii="Times New Roman" w:eastAsia="Times New Roman" w:hAnsi="Times New Roman" w:cs="Times New Roman"/>
          <w:sz w:val="22"/>
          <w:szCs w:val="22"/>
        </w:rPr>
        <w:t xml:space="preserve">, in coordination with the </w:t>
      </w:r>
      <w:r w:rsidR="005F58F6">
        <w:rPr>
          <w:rFonts w:ascii="Times New Roman" w:eastAsia="Times New Roman" w:hAnsi="Times New Roman" w:cs="Times New Roman"/>
          <w:sz w:val="22"/>
          <w:szCs w:val="22"/>
        </w:rPr>
        <w:t>W</w:t>
      </w:r>
      <w:r w:rsidR="00D905CF" w:rsidRPr="008C0E36">
        <w:rPr>
          <w:rFonts w:ascii="Times New Roman" w:eastAsia="Times New Roman" w:hAnsi="Times New Roman" w:cs="Times New Roman"/>
          <w:sz w:val="22"/>
          <w:szCs w:val="22"/>
        </w:rPr>
        <w:t xml:space="preserve">ork </w:t>
      </w:r>
      <w:r w:rsidR="005F58F6">
        <w:rPr>
          <w:rFonts w:ascii="Times New Roman" w:eastAsia="Times New Roman" w:hAnsi="Times New Roman" w:cs="Times New Roman"/>
          <w:sz w:val="22"/>
          <w:szCs w:val="22"/>
        </w:rPr>
        <w:t>S</w:t>
      </w:r>
      <w:r w:rsidR="00D905CF" w:rsidRPr="008C0E36">
        <w:rPr>
          <w:rFonts w:ascii="Times New Roman" w:eastAsia="Times New Roman" w:hAnsi="Times New Roman" w:cs="Times New Roman"/>
          <w:sz w:val="22"/>
          <w:szCs w:val="22"/>
        </w:rPr>
        <w:t xml:space="preserve">upervisors, that the commitments given in the ESIA/ESMPs, SEPs, </w:t>
      </w:r>
      <w:r w:rsidR="005F58F6">
        <w:rPr>
          <w:rFonts w:ascii="Times New Roman" w:eastAsia="Times New Roman" w:hAnsi="Times New Roman" w:cs="Times New Roman"/>
          <w:sz w:val="22"/>
          <w:szCs w:val="22"/>
        </w:rPr>
        <w:t xml:space="preserve">LMP, </w:t>
      </w:r>
      <w:r w:rsidR="00D905CF" w:rsidRPr="008C0E36">
        <w:rPr>
          <w:rFonts w:ascii="Times New Roman" w:eastAsia="Times New Roman" w:hAnsi="Times New Roman" w:cs="Times New Roman"/>
          <w:sz w:val="22"/>
          <w:szCs w:val="22"/>
        </w:rPr>
        <w:t>RPs, Ex-post social audits reports and other relevant management plans (Traffic Management Plans, Community Health and Safety Plans, etc.) are finalized, approved and implemented on the field as scheduled;</w:t>
      </w:r>
    </w:p>
    <w:p w14:paraId="0EEDB6ED" w14:textId="77777777" w:rsidR="004F2634" w:rsidRDefault="000A5E3D" w:rsidP="008C0E36">
      <w:pPr>
        <w:pStyle w:val="ListeParagraf"/>
        <w:numPr>
          <w:ilvl w:val="0"/>
          <w:numId w:val="15"/>
        </w:numPr>
        <w:jc w:val="both"/>
        <w:rPr>
          <w:rFonts w:ascii="Times New Roman" w:eastAsia="Times New Roman" w:hAnsi="Times New Roman" w:cs="Times New Roman"/>
          <w:sz w:val="22"/>
          <w:szCs w:val="22"/>
        </w:rPr>
      </w:pPr>
      <w:r w:rsidRPr="005020EC">
        <w:rPr>
          <w:rFonts w:ascii="Times New Roman" w:eastAsia="Times New Roman" w:hAnsi="Times New Roman" w:cs="Times New Roman"/>
          <w:sz w:val="22"/>
          <w:szCs w:val="22"/>
        </w:rPr>
        <w:t>S</w:t>
      </w:r>
      <w:r w:rsidR="00D905CF" w:rsidRPr="006A6F35">
        <w:rPr>
          <w:rFonts w:ascii="Times New Roman" w:eastAsia="Times New Roman" w:hAnsi="Times New Roman" w:cs="Times New Roman"/>
          <w:sz w:val="22"/>
          <w:szCs w:val="22"/>
        </w:rPr>
        <w:t>upport the P</w:t>
      </w:r>
      <w:r w:rsidR="00866299" w:rsidRPr="00B21442">
        <w:rPr>
          <w:rFonts w:ascii="Times New Roman" w:eastAsia="Times New Roman" w:hAnsi="Times New Roman" w:cs="Times New Roman"/>
          <w:sz w:val="22"/>
          <w:szCs w:val="22"/>
        </w:rPr>
        <w:t>C</w:t>
      </w:r>
      <w:r w:rsidR="00D905CF" w:rsidRPr="005020EC">
        <w:rPr>
          <w:rFonts w:ascii="Times New Roman" w:eastAsia="Times New Roman" w:hAnsi="Times New Roman" w:cs="Times New Roman"/>
          <w:sz w:val="22"/>
          <w:szCs w:val="22"/>
        </w:rPr>
        <w:t xml:space="preserve">U </w:t>
      </w:r>
      <w:r w:rsidR="00EA6D5D" w:rsidRPr="005020EC">
        <w:rPr>
          <w:rFonts w:ascii="Times New Roman" w:eastAsia="Times New Roman" w:hAnsi="Times New Roman" w:cs="Times New Roman"/>
          <w:sz w:val="22"/>
          <w:szCs w:val="22"/>
        </w:rPr>
        <w:t xml:space="preserve">and PIUs </w:t>
      </w:r>
      <w:r w:rsidR="00D905CF" w:rsidRPr="005020EC">
        <w:rPr>
          <w:rFonts w:ascii="Times New Roman" w:eastAsia="Times New Roman" w:hAnsi="Times New Roman" w:cs="Times New Roman"/>
          <w:sz w:val="22"/>
          <w:szCs w:val="22"/>
        </w:rPr>
        <w:t>for prepar</w:t>
      </w:r>
      <w:r w:rsidR="009D5C96" w:rsidRPr="005020EC">
        <w:rPr>
          <w:rFonts w:ascii="Times New Roman" w:eastAsia="Times New Roman" w:hAnsi="Times New Roman" w:cs="Times New Roman"/>
          <w:sz w:val="22"/>
          <w:szCs w:val="22"/>
        </w:rPr>
        <w:t>ing and presenting</w:t>
      </w:r>
      <w:r w:rsidR="00D905CF" w:rsidRPr="005020EC">
        <w:rPr>
          <w:rFonts w:ascii="Times New Roman" w:eastAsia="Times New Roman" w:hAnsi="Times New Roman" w:cs="Times New Roman"/>
          <w:sz w:val="22"/>
          <w:szCs w:val="22"/>
        </w:rPr>
        <w:t xml:space="preserve"> </w:t>
      </w:r>
      <w:r w:rsidR="008A429C" w:rsidRPr="005020EC">
        <w:rPr>
          <w:rFonts w:ascii="Times New Roman" w:eastAsia="Times New Roman" w:hAnsi="Times New Roman" w:cs="Times New Roman"/>
          <w:sz w:val="22"/>
          <w:szCs w:val="22"/>
        </w:rPr>
        <w:t xml:space="preserve">Quarterly Compliance </w:t>
      </w:r>
      <w:r w:rsidR="00D905CF" w:rsidRPr="005020EC">
        <w:rPr>
          <w:rFonts w:ascii="Times New Roman" w:eastAsia="Times New Roman" w:hAnsi="Times New Roman" w:cs="Times New Roman"/>
          <w:sz w:val="22"/>
          <w:szCs w:val="22"/>
        </w:rPr>
        <w:t xml:space="preserve">Reports to </w:t>
      </w:r>
      <w:r w:rsidR="006354E6" w:rsidRPr="005020EC">
        <w:rPr>
          <w:rFonts w:ascii="Times New Roman" w:eastAsia="Times New Roman" w:hAnsi="Times New Roman" w:cs="Times New Roman"/>
          <w:sz w:val="22"/>
          <w:szCs w:val="22"/>
        </w:rPr>
        <w:t xml:space="preserve">the </w:t>
      </w:r>
      <w:r w:rsidR="00D905CF" w:rsidRPr="005020EC">
        <w:rPr>
          <w:rFonts w:ascii="Times New Roman" w:eastAsia="Times New Roman" w:hAnsi="Times New Roman" w:cs="Times New Roman"/>
          <w:sz w:val="22"/>
          <w:szCs w:val="22"/>
        </w:rPr>
        <w:t>World Bank</w:t>
      </w:r>
      <w:r w:rsidR="006354E6" w:rsidRPr="005020EC">
        <w:rPr>
          <w:rFonts w:ascii="Times New Roman" w:eastAsia="Times New Roman" w:hAnsi="Times New Roman" w:cs="Times New Roman"/>
          <w:sz w:val="22"/>
          <w:szCs w:val="22"/>
        </w:rPr>
        <w:t>, to document</w:t>
      </w:r>
      <w:r w:rsidR="00D905CF" w:rsidRPr="005020EC">
        <w:rPr>
          <w:rFonts w:ascii="Times New Roman" w:eastAsia="Times New Roman" w:hAnsi="Times New Roman" w:cs="Times New Roman"/>
          <w:sz w:val="22"/>
          <w:szCs w:val="22"/>
        </w:rPr>
        <w:t xml:space="preserve"> the social </w:t>
      </w:r>
      <w:r w:rsidR="00CB2131" w:rsidRPr="005020EC">
        <w:rPr>
          <w:rFonts w:ascii="Times New Roman" w:eastAsia="Times New Roman" w:hAnsi="Times New Roman" w:cs="Times New Roman"/>
          <w:sz w:val="22"/>
          <w:szCs w:val="22"/>
        </w:rPr>
        <w:t xml:space="preserve">issues within the scope of the </w:t>
      </w:r>
      <w:r w:rsidR="005F58F6" w:rsidRPr="005020EC">
        <w:rPr>
          <w:rFonts w:ascii="Times New Roman" w:eastAsia="Times New Roman" w:hAnsi="Times New Roman" w:cs="Times New Roman"/>
          <w:sz w:val="22"/>
          <w:szCs w:val="22"/>
        </w:rPr>
        <w:t>construction and compliance activities completed during the period and to track the resolutions of any issues that may occurred, for all sub-projects under implementation.</w:t>
      </w:r>
      <w:r w:rsidR="00D905CF" w:rsidRPr="005020EC">
        <w:rPr>
          <w:rFonts w:ascii="Times New Roman" w:eastAsia="Times New Roman" w:hAnsi="Times New Roman" w:cs="Times New Roman"/>
          <w:sz w:val="22"/>
          <w:szCs w:val="22"/>
        </w:rPr>
        <w:t>;</w:t>
      </w:r>
    </w:p>
    <w:p w14:paraId="58F08471" w14:textId="494C4B33"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sidR="00D905CF" w:rsidRPr="008C0E36">
        <w:rPr>
          <w:rFonts w:ascii="Times New Roman" w:eastAsia="Times New Roman" w:hAnsi="Times New Roman" w:cs="Times New Roman"/>
          <w:sz w:val="22"/>
          <w:szCs w:val="22"/>
        </w:rPr>
        <w:t xml:space="preserve">onduct site visits for the assessment of the social issues of the Project; assist/participate in audits and monitoring missions conducted by the World Bank or the any other authorities including </w:t>
      </w:r>
      <w:r w:rsidR="001F793A">
        <w:rPr>
          <w:rFonts w:ascii="Times New Roman" w:eastAsia="Times New Roman" w:hAnsi="Times New Roman" w:cs="Times New Roman"/>
          <w:sz w:val="22"/>
          <w:szCs w:val="22"/>
        </w:rPr>
        <w:t>OGM and other implementing agencies</w:t>
      </w:r>
      <w:r w:rsidR="00D905CF" w:rsidRPr="008C0E36">
        <w:rPr>
          <w:rFonts w:ascii="Times New Roman" w:eastAsia="Times New Roman" w:hAnsi="Times New Roman" w:cs="Times New Roman"/>
          <w:sz w:val="22"/>
          <w:szCs w:val="22"/>
        </w:rPr>
        <w:t>;</w:t>
      </w:r>
    </w:p>
    <w:p w14:paraId="1E15B733" w14:textId="5A5E40B5"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sidR="00D905CF" w:rsidRPr="008C0E36">
        <w:rPr>
          <w:rFonts w:ascii="Times New Roman" w:eastAsia="Times New Roman" w:hAnsi="Times New Roman" w:cs="Times New Roman"/>
          <w:sz w:val="22"/>
          <w:szCs w:val="22"/>
        </w:rPr>
        <w:t xml:space="preserve">onduct “on-the-job” or specific trainings on the social issues related to the project scope requested by </w:t>
      </w:r>
      <w:r w:rsidR="00866299" w:rsidRPr="008C0E36">
        <w:rPr>
          <w:rFonts w:ascii="Times New Roman" w:eastAsia="Times New Roman" w:hAnsi="Times New Roman" w:cs="Times New Roman"/>
          <w:sz w:val="22"/>
          <w:szCs w:val="22"/>
        </w:rPr>
        <w:t xml:space="preserve">OGM and other IAS </w:t>
      </w:r>
      <w:r w:rsidR="00D905CF" w:rsidRPr="008C0E36">
        <w:rPr>
          <w:rFonts w:ascii="Times New Roman" w:eastAsia="Times New Roman" w:hAnsi="Times New Roman" w:cs="Times New Roman"/>
          <w:sz w:val="22"/>
          <w:szCs w:val="22"/>
        </w:rPr>
        <w:t>and ensure P</w:t>
      </w:r>
      <w:r w:rsidR="00866299" w:rsidRPr="008C0E36">
        <w:rPr>
          <w:rFonts w:ascii="Times New Roman" w:eastAsia="Times New Roman" w:hAnsi="Times New Roman" w:cs="Times New Roman"/>
          <w:sz w:val="22"/>
          <w:szCs w:val="22"/>
        </w:rPr>
        <w:t>C</w:t>
      </w:r>
      <w:r w:rsidR="00D905CF" w:rsidRPr="008C0E36">
        <w:rPr>
          <w:rFonts w:ascii="Times New Roman" w:eastAsia="Times New Roman" w:hAnsi="Times New Roman" w:cs="Times New Roman"/>
          <w:sz w:val="22"/>
          <w:szCs w:val="22"/>
        </w:rPr>
        <w:t xml:space="preserve">U and PIU teams </w:t>
      </w:r>
      <w:r w:rsidR="008A429C">
        <w:rPr>
          <w:rFonts w:ascii="Times New Roman" w:eastAsia="Times New Roman" w:hAnsi="Times New Roman" w:cs="Times New Roman"/>
          <w:sz w:val="22"/>
          <w:szCs w:val="22"/>
        </w:rPr>
        <w:t xml:space="preserve">(including RSTs) </w:t>
      </w:r>
      <w:r w:rsidR="00D905CF" w:rsidRPr="008C0E36">
        <w:rPr>
          <w:rFonts w:ascii="Times New Roman" w:eastAsia="Times New Roman" w:hAnsi="Times New Roman" w:cs="Times New Roman"/>
          <w:sz w:val="22"/>
          <w:szCs w:val="22"/>
        </w:rPr>
        <w:t>are well aware</w:t>
      </w:r>
      <w:r w:rsidR="006A6F35">
        <w:rPr>
          <w:rFonts w:ascii="Times New Roman" w:eastAsia="Times New Roman" w:hAnsi="Times New Roman" w:cs="Times New Roman"/>
          <w:sz w:val="22"/>
          <w:szCs w:val="22"/>
        </w:rPr>
        <w:t xml:space="preserve"> of the</w:t>
      </w:r>
      <w:r w:rsidR="00D905CF" w:rsidRPr="008C0E36">
        <w:rPr>
          <w:rFonts w:ascii="Times New Roman" w:eastAsia="Times New Roman" w:hAnsi="Times New Roman" w:cs="Times New Roman"/>
          <w:sz w:val="22"/>
          <w:szCs w:val="22"/>
        </w:rPr>
        <w:t xml:space="preserve"> project documents especially </w:t>
      </w:r>
      <w:r w:rsidR="006A6F35">
        <w:rPr>
          <w:rFonts w:ascii="Times New Roman" w:eastAsia="Times New Roman" w:hAnsi="Times New Roman" w:cs="Times New Roman"/>
          <w:sz w:val="22"/>
          <w:szCs w:val="22"/>
        </w:rPr>
        <w:t xml:space="preserve">LMP, </w:t>
      </w:r>
      <w:r w:rsidR="00D905CF" w:rsidRPr="008C0E36">
        <w:rPr>
          <w:rFonts w:ascii="Times New Roman" w:eastAsia="Times New Roman" w:hAnsi="Times New Roman" w:cs="Times New Roman"/>
          <w:sz w:val="22"/>
          <w:szCs w:val="22"/>
        </w:rPr>
        <w:t xml:space="preserve">SEPs, RPs, Ex-post social audits reports and etc.; </w:t>
      </w:r>
    </w:p>
    <w:p w14:paraId="4221D254" w14:textId="6EEE5A6E" w:rsidR="00D905CF" w:rsidRPr="008C0E36" w:rsidRDefault="000A5E3D" w:rsidP="008C0E36">
      <w:pPr>
        <w:pStyle w:val="ListeParagraf"/>
        <w:numPr>
          <w:ilvl w:val="0"/>
          <w:numId w:val="1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D905CF" w:rsidRPr="008C0E36">
        <w:rPr>
          <w:rFonts w:ascii="Times New Roman" w:eastAsia="Times New Roman" w:hAnsi="Times New Roman" w:cs="Times New Roman"/>
          <w:sz w:val="22"/>
          <w:szCs w:val="22"/>
        </w:rPr>
        <w:t xml:space="preserve">onitor and supervise the implementation of SEPs and all engagement activities conducted by </w:t>
      </w:r>
      <w:r w:rsidR="00866299" w:rsidRPr="008C0E36">
        <w:rPr>
          <w:rFonts w:ascii="Times New Roman" w:eastAsia="Times New Roman" w:hAnsi="Times New Roman" w:cs="Times New Roman"/>
          <w:sz w:val="22"/>
          <w:szCs w:val="22"/>
        </w:rPr>
        <w:t xml:space="preserve">implementing agencies </w:t>
      </w:r>
      <w:r w:rsidR="00D905CF" w:rsidRPr="008C0E36">
        <w:rPr>
          <w:rFonts w:ascii="Times New Roman" w:eastAsia="Times New Roman" w:hAnsi="Times New Roman" w:cs="Times New Roman"/>
          <w:sz w:val="22"/>
          <w:szCs w:val="22"/>
        </w:rPr>
        <w:t>and provide recommendations to PIU teams and update P</w:t>
      </w:r>
      <w:r w:rsidR="00866299" w:rsidRPr="008C0E36">
        <w:rPr>
          <w:rFonts w:ascii="Times New Roman" w:eastAsia="Times New Roman" w:hAnsi="Times New Roman" w:cs="Times New Roman"/>
          <w:sz w:val="22"/>
          <w:szCs w:val="22"/>
        </w:rPr>
        <w:t>C</w:t>
      </w:r>
      <w:r w:rsidR="00D905CF" w:rsidRPr="008C0E36">
        <w:rPr>
          <w:rFonts w:ascii="Times New Roman" w:eastAsia="Times New Roman" w:hAnsi="Times New Roman" w:cs="Times New Roman"/>
          <w:sz w:val="22"/>
          <w:szCs w:val="22"/>
        </w:rPr>
        <w:t xml:space="preserve">U on any issues. That would require additional measures to be taken for communicating project related issues to stakeholders. </w:t>
      </w:r>
    </w:p>
    <w:p w14:paraId="387690EA" w14:textId="1F9CDC2C" w:rsidR="00B21442" w:rsidRDefault="000A5E3D" w:rsidP="00B21442">
      <w:pPr>
        <w:pStyle w:val="ListeParagraf"/>
        <w:numPr>
          <w:ilvl w:val="0"/>
          <w:numId w:val="17"/>
        </w:numP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r w:rsidR="00D905CF" w:rsidRPr="008C0E36">
        <w:rPr>
          <w:rFonts w:ascii="Times New Roman" w:eastAsia="Times New Roman" w:hAnsi="Times New Roman" w:cs="Times New Roman"/>
          <w:sz w:val="22"/>
          <w:szCs w:val="22"/>
        </w:rPr>
        <w:t xml:space="preserve">acilitate and support the maintenance and the management of the Grievance Mechanism (GM) in close coordination with the </w:t>
      </w:r>
      <w:r w:rsidR="00866299" w:rsidRPr="008C0E36">
        <w:rPr>
          <w:rFonts w:ascii="Times New Roman" w:eastAsia="Times New Roman" w:hAnsi="Times New Roman" w:cs="Times New Roman"/>
          <w:sz w:val="22"/>
          <w:szCs w:val="22"/>
        </w:rPr>
        <w:t xml:space="preserve">OGM and </w:t>
      </w:r>
      <w:r w:rsidR="00B21442">
        <w:rPr>
          <w:rFonts w:ascii="Times New Roman" w:eastAsia="Times New Roman" w:hAnsi="Times New Roman" w:cs="Times New Roman"/>
          <w:sz w:val="22"/>
          <w:szCs w:val="22"/>
        </w:rPr>
        <w:t>PD</w:t>
      </w:r>
      <w:r w:rsidR="00B21442">
        <w:rPr>
          <w:rFonts w:ascii="Times New Roman" w:eastAsia="Times New Roman" w:hAnsi="Times New Roman" w:cs="Times New Roman"/>
          <w:sz w:val="22"/>
          <w:szCs w:val="22"/>
          <w:lang w:val="en-US"/>
        </w:rPr>
        <w:t>/RDs of the</w:t>
      </w:r>
      <w:r w:rsidR="00B21442" w:rsidRPr="008C0E36">
        <w:rPr>
          <w:rFonts w:ascii="Times New Roman" w:eastAsia="Times New Roman" w:hAnsi="Times New Roman" w:cs="Times New Roman"/>
          <w:sz w:val="22"/>
          <w:szCs w:val="22"/>
        </w:rPr>
        <w:t xml:space="preserve"> </w:t>
      </w:r>
      <w:r w:rsidR="00866299" w:rsidRPr="008C0E36">
        <w:rPr>
          <w:rFonts w:ascii="Times New Roman" w:eastAsia="Times New Roman" w:hAnsi="Times New Roman" w:cs="Times New Roman"/>
          <w:sz w:val="22"/>
          <w:szCs w:val="22"/>
        </w:rPr>
        <w:t>IAs</w:t>
      </w:r>
      <w:r w:rsidR="00D905CF" w:rsidRPr="008C0E36">
        <w:rPr>
          <w:rFonts w:ascii="Times New Roman" w:eastAsia="Times New Roman" w:hAnsi="Times New Roman" w:cs="Times New Roman"/>
          <w:sz w:val="22"/>
          <w:szCs w:val="22"/>
        </w:rPr>
        <w:t xml:space="preserve">. </w:t>
      </w:r>
      <w:r w:rsidR="00B21442">
        <w:rPr>
          <w:rFonts w:ascii="Times New Roman" w:eastAsia="Times New Roman" w:hAnsi="Times New Roman" w:cs="Times New Roman"/>
          <w:sz w:val="22"/>
          <w:szCs w:val="22"/>
        </w:rPr>
        <w:t>This includes collecting information from the field, logging and analyzing this information, as well as following up on any questions, comments and complaints, as necessary, and monitoring the closure of grievances and reporting to project management and stakeholders.</w:t>
      </w:r>
    </w:p>
    <w:p w14:paraId="6FBB58F3" w14:textId="274A871A" w:rsidR="002D4D80" w:rsidRPr="002D4D80" w:rsidRDefault="00E31458" w:rsidP="002D4D80">
      <w:pPr>
        <w:pStyle w:val="ListeParagraf"/>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Ensure GM is adapted to be able to receive, report, and address complaints of any kind, including complaints related to sexual exploitation and abuse (SEA) and sexual harassment (SH) in full confidentiality</w:t>
      </w:r>
      <w:r w:rsidR="00BA2CBC">
        <w:rPr>
          <w:rFonts w:ascii="Times New Roman" w:eastAsia="Times New Roman" w:hAnsi="Times New Roman" w:cs="Times New Roman"/>
          <w:sz w:val="22"/>
          <w:szCs w:val="22"/>
        </w:rPr>
        <w:t xml:space="preserve"> </w:t>
      </w:r>
      <w:r w:rsidR="006151DF">
        <w:rPr>
          <w:rFonts w:ascii="Times New Roman" w:eastAsia="Times New Roman" w:hAnsi="Times New Roman" w:cs="Times New Roman"/>
          <w:sz w:val="22"/>
          <w:szCs w:val="22"/>
        </w:rPr>
        <w:t>.</w:t>
      </w:r>
    </w:p>
    <w:p w14:paraId="727D0075" w14:textId="77777777" w:rsidR="00435617" w:rsidRPr="008C0E36" w:rsidRDefault="00435617" w:rsidP="008C0E36">
      <w:pPr>
        <w:pStyle w:val="ListeParagraf"/>
        <w:numPr>
          <w:ilvl w:val="0"/>
          <w:numId w:val="15"/>
        </w:numPr>
        <w:rPr>
          <w:rFonts w:ascii="Times New Roman" w:hAnsi="Times New Roman" w:cs="Times New Roman"/>
          <w:sz w:val="22"/>
          <w:szCs w:val="22"/>
        </w:rPr>
      </w:pPr>
      <w:r w:rsidRPr="008C0E36">
        <w:rPr>
          <w:rFonts w:ascii="Times New Roman" w:hAnsi="Times New Roman" w:cs="Times New Roman"/>
          <w:sz w:val="22"/>
          <w:szCs w:val="22"/>
        </w:rPr>
        <w:t>Perform other duties emerging in the frame of this Terms of Reference.</w:t>
      </w:r>
    </w:p>
    <w:p w14:paraId="6A3CFEBF" w14:textId="77777777" w:rsidR="00010859" w:rsidRPr="00435617" w:rsidRDefault="00010859" w:rsidP="00435617">
      <w:pPr>
        <w:ind w:left="720"/>
        <w:jc w:val="both"/>
        <w:rPr>
          <w:rFonts w:ascii="Times New Roman" w:eastAsia="Times New Roman" w:hAnsi="Times New Roman" w:cs="Times New Roman"/>
        </w:rPr>
      </w:pPr>
    </w:p>
    <w:p w14:paraId="037D7889" w14:textId="3075B08F" w:rsidR="00FC6524" w:rsidRDefault="00FC6524" w:rsidP="00FC6524">
      <w:pPr>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A more detailed list of services will be provided to the Social Safeguard </w:t>
      </w:r>
      <w:r w:rsidR="00170EF8">
        <w:rPr>
          <w:rFonts w:ascii="Times New Roman" w:eastAsia="Times New Roman" w:hAnsi="Times New Roman" w:cs="Times New Roman"/>
          <w:sz w:val="22"/>
          <w:szCs w:val="22"/>
          <w:lang w:val="en-US"/>
        </w:rPr>
        <w:t>Specialist</w:t>
      </w:r>
      <w:r>
        <w:rPr>
          <w:rFonts w:ascii="Times New Roman" w:eastAsia="Times New Roman" w:hAnsi="Times New Roman" w:cs="Times New Roman"/>
          <w:sz w:val="22"/>
          <w:szCs w:val="22"/>
          <w:lang w:val="en-US"/>
        </w:rPr>
        <w:t xml:space="preserve"> upon contract of employment.</w:t>
      </w:r>
    </w:p>
    <w:p w14:paraId="1E23E62A" w14:textId="77777777" w:rsidR="00010859" w:rsidRPr="00235140" w:rsidRDefault="00010859" w:rsidP="00B072C7">
      <w:pPr>
        <w:jc w:val="both"/>
        <w:rPr>
          <w:rFonts w:ascii="Times New Roman" w:eastAsia="Times New Roman" w:hAnsi="Times New Roman" w:cs="Times New Roman"/>
          <w:sz w:val="22"/>
          <w:szCs w:val="22"/>
        </w:rPr>
      </w:pPr>
    </w:p>
    <w:p w14:paraId="62418AA2" w14:textId="32C2E0D0" w:rsidR="00010859" w:rsidRDefault="00010859" w:rsidP="00B072C7">
      <w:pPr>
        <w:pStyle w:val="ListeParagraf"/>
        <w:numPr>
          <w:ilvl w:val="0"/>
          <w:numId w:val="8"/>
        </w:numPr>
        <w:jc w:val="both"/>
        <w:rPr>
          <w:rFonts w:ascii="Times New Roman" w:eastAsia="Times New Roman" w:hAnsi="Times New Roman" w:cs="Times New Roman"/>
          <w:b/>
          <w:bCs/>
          <w:sz w:val="24"/>
          <w:szCs w:val="24"/>
        </w:rPr>
      </w:pPr>
      <w:r w:rsidRPr="00B072C7">
        <w:rPr>
          <w:rFonts w:ascii="Times New Roman" w:eastAsia="Times New Roman" w:hAnsi="Times New Roman" w:cs="Times New Roman"/>
          <w:b/>
          <w:bCs/>
          <w:sz w:val="24"/>
          <w:szCs w:val="24"/>
        </w:rPr>
        <w:t>Duration</w:t>
      </w:r>
      <w:r w:rsidR="00E31458">
        <w:rPr>
          <w:rFonts w:ascii="Times New Roman" w:eastAsia="Times New Roman" w:hAnsi="Times New Roman" w:cs="Times New Roman"/>
          <w:b/>
          <w:bCs/>
          <w:sz w:val="24"/>
          <w:szCs w:val="24"/>
        </w:rPr>
        <w:t xml:space="preserve"> and Location of Employment</w:t>
      </w:r>
    </w:p>
    <w:p w14:paraId="48E0190B" w14:textId="77777777" w:rsidR="00B072C7" w:rsidRPr="00B072C7" w:rsidRDefault="00B072C7" w:rsidP="00B072C7">
      <w:pPr>
        <w:pStyle w:val="ListeParagraf"/>
        <w:ind w:left="364"/>
        <w:jc w:val="both"/>
        <w:rPr>
          <w:rFonts w:ascii="Times New Roman" w:eastAsia="Times New Roman" w:hAnsi="Times New Roman" w:cs="Times New Roman"/>
          <w:b/>
          <w:bCs/>
          <w:sz w:val="24"/>
          <w:szCs w:val="24"/>
        </w:rPr>
      </w:pPr>
    </w:p>
    <w:p w14:paraId="07705D98" w14:textId="5FF7A195" w:rsidR="00010859" w:rsidRPr="00235140" w:rsidRDefault="00A607B4" w:rsidP="00B072C7">
      <w:pPr>
        <w:ind w:left="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services will be required on a full-time basis. The Social Safeguards </w:t>
      </w:r>
      <w:r w:rsidR="00170EF8">
        <w:rPr>
          <w:rFonts w:ascii="Times New Roman" w:eastAsia="Times New Roman" w:hAnsi="Times New Roman" w:cs="Times New Roman"/>
          <w:sz w:val="22"/>
          <w:szCs w:val="22"/>
          <w:lang w:val="en-US"/>
        </w:rPr>
        <w:t>Specialist</w:t>
      </w:r>
      <w:r w:rsidR="00170EF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is expected to commence work in the first quarter of 2022, with two months’ probation period and a renewable 1-year contract, if performance is satisfactory, for the entire duration of the project (which is expected to </w:t>
      </w:r>
      <w:r w:rsidR="00010859" w:rsidRPr="00235140">
        <w:rPr>
          <w:rFonts w:ascii="Times New Roman" w:eastAsia="Times New Roman" w:hAnsi="Times New Roman" w:cs="Times New Roman"/>
          <w:sz w:val="22"/>
          <w:szCs w:val="22"/>
        </w:rPr>
        <w:t>end in the last quarter of 2028 corresponding to the closure of the Project or on the project’s extended closure date.</w:t>
      </w:r>
    </w:p>
    <w:p w14:paraId="7CC3438B" w14:textId="77777777" w:rsidR="00010859" w:rsidRDefault="00010859" w:rsidP="00B072C7">
      <w:pPr>
        <w:ind w:right="16"/>
        <w:jc w:val="both"/>
        <w:rPr>
          <w:rFonts w:ascii="Times New Roman" w:eastAsia="Times New Roman" w:hAnsi="Times New Roman" w:cs="Times New Roman"/>
          <w:b/>
          <w:sz w:val="24"/>
          <w:szCs w:val="24"/>
        </w:rPr>
      </w:pPr>
    </w:p>
    <w:p w14:paraId="068882DE" w14:textId="74510797" w:rsidR="005800BD" w:rsidRPr="00170EF8" w:rsidRDefault="005800BD" w:rsidP="00170EF8">
      <w:pPr>
        <w:ind w:left="4"/>
        <w:jc w:val="both"/>
        <w:rPr>
          <w:rFonts w:ascii="Times New Roman" w:eastAsia="Times New Roman" w:hAnsi="Times New Roman" w:cs="Times New Roman"/>
          <w:sz w:val="22"/>
          <w:szCs w:val="22"/>
        </w:rPr>
      </w:pPr>
      <w:r w:rsidRPr="00170EF8">
        <w:rPr>
          <w:rFonts w:ascii="Times New Roman" w:eastAsia="Times New Roman" w:hAnsi="Times New Roman" w:cs="Times New Roman"/>
          <w:sz w:val="22"/>
          <w:szCs w:val="22"/>
        </w:rPr>
        <w:t xml:space="preserve">The position will be based in Ankara, and the Social Safeguard </w:t>
      </w:r>
      <w:r w:rsidR="00170EF8" w:rsidRPr="00170EF8">
        <w:rPr>
          <w:rFonts w:ascii="Times New Roman" w:eastAsia="Times New Roman" w:hAnsi="Times New Roman" w:cs="Times New Roman"/>
          <w:sz w:val="22"/>
          <w:szCs w:val="22"/>
        </w:rPr>
        <w:t xml:space="preserve">Specialist </w:t>
      </w:r>
      <w:r w:rsidRPr="00170EF8">
        <w:rPr>
          <w:rFonts w:ascii="Times New Roman" w:eastAsia="Times New Roman" w:hAnsi="Times New Roman" w:cs="Times New Roman"/>
          <w:sz w:val="22"/>
          <w:szCs w:val="22"/>
        </w:rPr>
        <w:t>will be expected to travel to civil works sites and other relevant sites under the project throughout project implementation.</w:t>
      </w:r>
    </w:p>
    <w:p w14:paraId="6A031598" w14:textId="77777777" w:rsidR="00010859" w:rsidRDefault="00010859" w:rsidP="00B072C7">
      <w:pPr>
        <w:ind w:right="16"/>
        <w:jc w:val="both"/>
        <w:rPr>
          <w:rFonts w:ascii="Times New Roman" w:eastAsia="Times New Roman" w:hAnsi="Times New Roman" w:cs="Times New Roman"/>
          <w:b/>
          <w:sz w:val="24"/>
          <w:szCs w:val="24"/>
        </w:rPr>
      </w:pPr>
    </w:p>
    <w:p w14:paraId="07180EAE" w14:textId="77777777" w:rsidR="006C7307" w:rsidRDefault="006C7307" w:rsidP="00B072C7">
      <w:pPr>
        <w:jc w:val="both"/>
      </w:pPr>
    </w:p>
    <w:p w14:paraId="58257B62" w14:textId="4216165F" w:rsidR="00392ED6" w:rsidRPr="0092404F" w:rsidRDefault="00392ED6" w:rsidP="00392ED6">
      <w:pPr>
        <w:pStyle w:val="GvdeMetni"/>
        <w:numPr>
          <w:ilvl w:val="0"/>
          <w:numId w:val="8"/>
        </w:numPr>
        <w:jc w:val="both"/>
        <w:rPr>
          <w:b/>
          <w:lang w:val="en-US"/>
        </w:rPr>
      </w:pPr>
      <w:r w:rsidRPr="00392ED6">
        <w:rPr>
          <w:b/>
          <w:lang w:val="en-US"/>
        </w:rPr>
        <w:t xml:space="preserve"> </w:t>
      </w:r>
      <w:r w:rsidRPr="0092404F">
        <w:rPr>
          <w:b/>
          <w:lang w:val="en-US"/>
        </w:rPr>
        <w:t>Methodology</w:t>
      </w:r>
    </w:p>
    <w:p w14:paraId="30FB422F" w14:textId="7AF89623" w:rsidR="00392ED6" w:rsidRPr="0079560A" w:rsidRDefault="00392ED6" w:rsidP="00392ED6">
      <w:pPr>
        <w:pStyle w:val="GvdeMetni"/>
        <w:spacing w:before="115"/>
        <w:ind w:left="200" w:right="539"/>
        <w:jc w:val="both"/>
        <w:rPr>
          <w:lang w:val="en-US"/>
        </w:rPr>
      </w:pPr>
      <w:r w:rsidRPr="0079560A">
        <w:rPr>
          <w:lang w:val="en-US"/>
        </w:rPr>
        <w:t>The consultant will be hired following the guidance of World Bank’s “Procurement</w:t>
      </w:r>
      <w:r w:rsidRPr="0079560A">
        <w:rPr>
          <w:spacing w:val="1"/>
          <w:lang w:val="en-US"/>
        </w:rPr>
        <w:t xml:space="preserve"> </w:t>
      </w:r>
      <w:r w:rsidRPr="0079560A">
        <w:rPr>
          <w:lang w:val="en-US"/>
        </w:rPr>
        <w:t>Regulations for IPF Borrowers” – November 2020 (“Procurement Regulations”). The</w:t>
      </w:r>
      <w:r w:rsidRPr="0079560A">
        <w:rPr>
          <w:spacing w:val="1"/>
          <w:lang w:val="en-US"/>
        </w:rPr>
        <w:t xml:space="preserve"> </w:t>
      </w:r>
      <w:r w:rsidRPr="0079560A">
        <w:rPr>
          <w:spacing w:val="-1"/>
          <w:lang w:val="en-US"/>
        </w:rPr>
        <w:t>contracted</w:t>
      </w:r>
      <w:r w:rsidRPr="0079560A">
        <w:rPr>
          <w:spacing w:val="-13"/>
          <w:lang w:val="en-US"/>
        </w:rPr>
        <w:t xml:space="preserve"> </w:t>
      </w:r>
      <w:r w:rsidRPr="0079560A">
        <w:rPr>
          <w:lang w:val="en-US"/>
        </w:rPr>
        <w:t>position</w:t>
      </w:r>
      <w:r w:rsidRPr="0079560A">
        <w:rPr>
          <w:spacing w:val="-15"/>
          <w:lang w:val="en-US"/>
        </w:rPr>
        <w:t xml:space="preserve"> </w:t>
      </w:r>
      <w:r w:rsidRPr="0079560A">
        <w:rPr>
          <w:lang w:val="en-US"/>
        </w:rPr>
        <w:t>will</w:t>
      </w:r>
      <w:r w:rsidRPr="0079560A">
        <w:rPr>
          <w:spacing w:val="-14"/>
          <w:lang w:val="en-US"/>
        </w:rPr>
        <w:t xml:space="preserve"> </w:t>
      </w:r>
      <w:r w:rsidRPr="0079560A">
        <w:rPr>
          <w:lang w:val="en-US"/>
        </w:rPr>
        <w:t>be</w:t>
      </w:r>
      <w:r w:rsidRPr="0079560A">
        <w:rPr>
          <w:spacing w:val="-16"/>
          <w:lang w:val="en-US"/>
        </w:rPr>
        <w:t xml:space="preserve"> </w:t>
      </w:r>
      <w:r w:rsidRPr="0079560A">
        <w:rPr>
          <w:lang w:val="en-US"/>
        </w:rPr>
        <w:t>the</w:t>
      </w:r>
      <w:r w:rsidRPr="0079560A">
        <w:rPr>
          <w:spacing w:val="-13"/>
          <w:lang w:val="en-US"/>
        </w:rPr>
        <w:t xml:space="preserve"> </w:t>
      </w:r>
      <w:r w:rsidR="00BA2CBC" w:rsidRPr="00BA2CBC">
        <w:rPr>
          <w:lang w:val="en-US"/>
        </w:rPr>
        <w:t xml:space="preserve">Social Safeguard Specialist </w:t>
      </w:r>
      <w:r w:rsidRPr="0079560A">
        <w:rPr>
          <w:lang w:val="en-US"/>
        </w:rPr>
        <w:t>of</w:t>
      </w:r>
      <w:r w:rsidRPr="0079560A">
        <w:rPr>
          <w:spacing w:val="-16"/>
          <w:lang w:val="en-US"/>
        </w:rPr>
        <w:t xml:space="preserve"> </w:t>
      </w:r>
      <w:r>
        <w:rPr>
          <w:lang w:val="en-US"/>
        </w:rPr>
        <w:t>PCU</w:t>
      </w:r>
      <w:r w:rsidRPr="0079560A">
        <w:rPr>
          <w:spacing w:val="-13"/>
          <w:lang w:val="en-US"/>
        </w:rPr>
        <w:t xml:space="preserve"> </w:t>
      </w:r>
      <w:r w:rsidRPr="0079560A">
        <w:rPr>
          <w:lang w:val="en-US"/>
        </w:rPr>
        <w:t>in</w:t>
      </w:r>
      <w:r w:rsidRPr="0079560A">
        <w:rPr>
          <w:spacing w:val="-14"/>
          <w:lang w:val="en-US"/>
        </w:rPr>
        <w:t xml:space="preserve"> </w:t>
      </w:r>
      <w:r w:rsidRPr="0079560A">
        <w:rPr>
          <w:lang w:val="en-US"/>
        </w:rPr>
        <w:t>Ankara.</w:t>
      </w:r>
      <w:r w:rsidRPr="0079560A">
        <w:rPr>
          <w:spacing w:val="-15"/>
          <w:lang w:val="en-US"/>
        </w:rPr>
        <w:t xml:space="preserve"> </w:t>
      </w:r>
      <w:r w:rsidRPr="0079560A">
        <w:rPr>
          <w:lang w:val="en-US"/>
        </w:rPr>
        <w:t>The</w:t>
      </w:r>
      <w:r w:rsidRPr="0079560A">
        <w:rPr>
          <w:spacing w:val="-14"/>
          <w:lang w:val="en-US"/>
        </w:rPr>
        <w:t xml:space="preserve"> </w:t>
      </w:r>
      <w:r w:rsidRPr="0079560A">
        <w:rPr>
          <w:lang w:val="en-US"/>
        </w:rPr>
        <w:t>contract</w:t>
      </w:r>
      <w:r w:rsidRPr="0079560A">
        <w:rPr>
          <w:spacing w:val="-57"/>
          <w:lang w:val="en-US"/>
        </w:rPr>
        <w:t xml:space="preserve"> </w:t>
      </w:r>
      <w:r w:rsidRPr="0079560A">
        <w:rPr>
          <w:lang w:val="en-US"/>
        </w:rPr>
        <w:t>will be signed between the</w:t>
      </w:r>
      <w:r>
        <w:rPr>
          <w:lang w:val="en-US"/>
        </w:rPr>
        <w:t xml:space="preserve"> </w:t>
      </w:r>
      <w:r w:rsidRPr="001E1A2D">
        <w:rPr>
          <w:lang w:val="en-US"/>
        </w:rPr>
        <w:t xml:space="preserve">Head of Department of </w:t>
      </w:r>
      <w:r w:rsidRPr="0079560A">
        <w:rPr>
          <w:lang w:val="en-US"/>
        </w:rPr>
        <w:t xml:space="preserve">General Directorate of </w:t>
      </w:r>
      <w:r>
        <w:rPr>
          <w:lang w:val="en-US"/>
        </w:rPr>
        <w:t xml:space="preserve">Forestry </w:t>
      </w:r>
      <w:r w:rsidRPr="00A75DA3">
        <w:rPr>
          <w:lang w:val="en-US"/>
        </w:rPr>
        <w:t xml:space="preserve"> </w:t>
      </w:r>
      <w:r w:rsidRPr="001E1A2D">
        <w:rPr>
          <w:lang w:val="en-US"/>
        </w:rPr>
        <w:t>or her deputy</w:t>
      </w:r>
      <w:r w:rsidRPr="0079560A">
        <w:rPr>
          <w:lang w:val="en-US"/>
        </w:rPr>
        <w:t xml:space="preserve"> and the</w:t>
      </w:r>
      <w:r w:rsidRPr="0079560A">
        <w:rPr>
          <w:spacing w:val="1"/>
          <w:lang w:val="en-US"/>
        </w:rPr>
        <w:t xml:space="preserve"> </w:t>
      </w:r>
      <w:r w:rsidRPr="0079560A">
        <w:rPr>
          <w:lang w:val="en-US"/>
        </w:rPr>
        <w:t>consultant.</w:t>
      </w:r>
    </w:p>
    <w:p w14:paraId="3226C7E9" w14:textId="77777777" w:rsidR="00392ED6" w:rsidRPr="0079560A" w:rsidRDefault="00392ED6" w:rsidP="00392ED6">
      <w:pPr>
        <w:pStyle w:val="GvdeMetni"/>
        <w:spacing w:before="10"/>
        <w:rPr>
          <w:sz w:val="34"/>
          <w:lang w:val="en-US"/>
        </w:rPr>
      </w:pPr>
      <w:r>
        <w:rPr>
          <w:sz w:val="34"/>
          <w:lang w:val="en-US"/>
        </w:rPr>
        <w:t xml:space="preserve"> </w:t>
      </w:r>
    </w:p>
    <w:p w14:paraId="14D01063" w14:textId="77777777" w:rsidR="00392ED6" w:rsidRPr="0092404F" w:rsidRDefault="00392ED6" w:rsidP="00392ED6">
      <w:pPr>
        <w:pStyle w:val="GvdeMetni"/>
        <w:numPr>
          <w:ilvl w:val="0"/>
          <w:numId w:val="8"/>
        </w:numPr>
        <w:jc w:val="both"/>
        <w:rPr>
          <w:b/>
          <w:lang w:val="en-US"/>
        </w:rPr>
      </w:pPr>
      <w:r w:rsidRPr="0092404F">
        <w:rPr>
          <w:b/>
          <w:lang w:val="en-US"/>
        </w:rPr>
        <w:t>Application</w:t>
      </w:r>
    </w:p>
    <w:p w14:paraId="0D11582C" w14:textId="2CB50EF7" w:rsidR="00392ED6" w:rsidRPr="001F3A30" w:rsidRDefault="00392ED6" w:rsidP="00392ED6">
      <w:pPr>
        <w:spacing w:before="115"/>
        <w:ind w:left="198" w:right="533"/>
        <w:jc w:val="both"/>
        <w:rPr>
          <w:rFonts w:ascii="Times New Roman" w:hAnsi="Times New Roman" w:cs="Times New Roman"/>
          <w:sz w:val="24"/>
          <w:lang w:val="en-US"/>
        </w:rPr>
      </w:pPr>
      <w:r w:rsidRPr="001F3A30">
        <w:rPr>
          <w:rFonts w:ascii="Times New Roman" w:hAnsi="Times New Roman" w:cs="Times New Roman"/>
          <w:sz w:val="24"/>
          <w:lang w:val="en-US"/>
        </w:rPr>
        <w:t>Curriculum vitae (CV) in English</w:t>
      </w:r>
      <w:r w:rsidR="00150268">
        <w:rPr>
          <w:rFonts w:ascii="Times New Roman" w:hAnsi="Times New Roman" w:cs="Times New Roman"/>
          <w:sz w:val="24"/>
          <w:lang w:val="en-US"/>
        </w:rPr>
        <w:t xml:space="preserve"> and </w:t>
      </w:r>
      <w:r w:rsidR="000A0B4D">
        <w:rPr>
          <w:rFonts w:ascii="Times New Roman" w:hAnsi="Times New Roman" w:cs="Times New Roman"/>
          <w:sz w:val="24"/>
          <w:lang w:val="en-US"/>
        </w:rPr>
        <w:t>Turkish</w:t>
      </w:r>
      <w:r w:rsidRPr="001F3A30">
        <w:rPr>
          <w:rFonts w:ascii="Times New Roman" w:hAnsi="Times New Roman" w:cs="Times New Roman"/>
          <w:sz w:val="24"/>
          <w:lang w:val="en-US"/>
        </w:rPr>
        <w:t xml:space="preserve"> in the format given below together with a one-page</w:t>
      </w:r>
      <w:r w:rsidRPr="001F3A30">
        <w:rPr>
          <w:rFonts w:ascii="Times New Roman" w:hAnsi="Times New Roman" w:cs="Times New Roman"/>
          <w:spacing w:val="1"/>
          <w:sz w:val="24"/>
          <w:lang w:val="en-US"/>
        </w:rPr>
        <w:t xml:space="preserve"> </w:t>
      </w:r>
      <w:r w:rsidRPr="001F3A30">
        <w:rPr>
          <w:rFonts w:ascii="Times New Roman" w:hAnsi="Times New Roman" w:cs="Times New Roman"/>
          <w:sz w:val="24"/>
          <w:lang w:val="en-US"/>
        </w:rPr>
        <w:t>application</w:t>
      </w:r>
      <w:r w:rsidRPr="001F3A30">
        <w:rPr>
          <w:rFonts w:ascii="Times New Roman" w:hAnsi="Times New Roman" w:cs="Times New Roman"/>
          <w:spacing w:val="1"/>
          <w:sz w:val="24"/>
          <w:lang w:val="en-US"/>
        </w:rPr>
        <w:t xml:space="preserve"> </w:t>
      </w:r>
      <w:r w:rsidRPr="001F3A30">
        <w:rPr>
          <w:rFonts w:ascii="Times New Roman" w:hAnsi="Times New Roman" w:cs="Times New Roman"/>
          <w:sz w:val="24"/>
          <w:lang w:val="en-US"/>
        </w:rPr>
        <w:t>letter</w:t>
      </w:r>
      <w:r w:rsidRPr="001F3A30">
        <w:rPr>
          <w:rFonts w:ascii="Times New Roman" w:hAnsi="Times New Roman" w:cs="Times New Roman"/>
          <w:spacing w:val="1"/>
          <w:sz w:val="24"/>
          <w:lang w:val="en-US"/>
        </w:rPr>
        <w:t xml:space="preserve"> </w:t>
      </w:r>
      <w:r w:rsidRPr="001F3A30">
        <w:rPr>
          <w:rFonts w:ascii="Times New Roman" w:hAnsi="Times New Roman" w:cs="Times New Roman"/>
          <w:sz w:val="24"/>
          <w:lang w:val="en-US"/>
        </w:rPr>
        <w:t>must</w:t>
      </w:r>
      <w:r w:rsidRPr="001F3A30">
        <w:rPr>
          <w:rFonts w:ascii="Times New Roman" w:hAnsi="Times New Roman" w:cs="Times New Roman"/>
          <w:spacing w:val="-6"/>
          <w:sz w:val="24"/>
          <w:lang w:val="en-US"/>
        </w:rPr>
        <w:t xml:space="preserve"> </w:t>
      </w:r>
      <w:r w:rsidRPr="001F3A30">
        <w:rPr>
          <w:rFonts w:ascii="Times New Roman" w:hAnsi="Times New Roman" w:cs="Times New Roman"/>
          <w:sz w:val="24"/>
          <w:lang w:val="en-US"/>
        </w:rPr>
        <w:t>be</w:t>
      </w:r>
      <w:r w:rsidRPr="001F3A30">
        <w:rPr>
          <w:rFonts w:ascii="Times New Roman" w:hAnsi="Times New Roman" w:cs="Times New Roman"/>
          <w:spacing w:val="-4"/>
          <w:sz w:val="24"/>
          <w:lang w:val="en-US"/>
        </w:rPr>
        <w:t xml:space="preserve"> </w:t>
      </w:r>
      <w:r w:rsidRPr="001F3A30">
        <w:rPr>
          <w:rFonts w:ascii="Times New Roman" w:hAnsi="Times New Roman" w:cs="Times New Roman"/>
          <w:sz w:val="24"/>
          <w:lang w:val="en-US"/>
        </w:rPr>
        <w:t>delivered</w:t>
      </w:r>
      <w:r w:rsidRPr="001F3A30">
        <w:rPr>
          <w:rFonts w:ascii="Times New Roman" w:hAnsi="Times New Roman" w:cs="Times New Roman"/>
          <w:spacing w:val="-3"/>
          <w:sz w:val="24"/>
          <w:lang w:val="en-US"/>
        </w:rPr>
        <w:t xml:space="preserve"> </w:t>
      </w:r>
      <w:r w:rsidRPr="001F3A30">
        <w:rPr>
          <w:rFonts w:ascii="Times New Roman" w:hAnsi="Times New Roman" w:cs="Times New Roman"/>
          <w:sz w:val="24"/>
          <w:lang w:val="en-US"/>
        </w:rPr>
        <w:t>to</w:t>
      </w:r>
      <w:r w:rsidRPr="001F3A30">
        <w:rPr>
          <w:rFonts w:ascii="Times New Roman" w:hAnsi="Times New Roman" w:cs="Times New Roman"/>
          <w:spacing w:val="-5"/>
          <w:sz w:val="24"/>
          <w:lang w:val="en-US"/>
        </w:rPr>
        <w:t xml:space="preserve"> </w:t>
      </w:r>
      <w:r w:rsidRPr="001F3A30">
        <w:rPr>
          <w:rFonts w:ascii="Times New Roman" w:hAnsi="Times New Roman" w:cs="Times New Roman"/>
          <w:sz w:val="24"/>
          <w:lang w:val="en-US"/>
        </w:rPr>
        <w:t>the</w:t>
      </w:r>
      <w:r w:rsidRPr="001F3A30">
        <w:rPr>
          <w:rFonts w:ascii="Times New Roman" w:hAnsi="Times New Roman" w:cs="Times New Roman"/>
          <w:spacing w:val="-5"/>
          <w:sz w:val="24"/>
          <w:lang w:val="en-US"/>
        </w:rPr>
        <w:t xml:space="preserve"> </w:t>
      </w:r>
      <w:r w:rsidRPr="001F3A30">
        <w:rPr>
          <w:rFonts w:ascii="Times New Roman" w:hAnsi="Times New Roman" w:cs="Times New Roman"/>
          <w:sz w:val="24"/>
          <w:lang w:val="en-US"/>
        </w:rPr>
        <w:t>address</w:t>
      </w:r>
      <w:r w:rsidRPr="001F3A30">
        <w:rPr>
          <w:rFonts w:ascii="Times New Roman" w:hAnsi="Times New Roman" w:cs="Times New Roman"/>
          <w:spacing w:val="-3"/>
          <w:sz w:val="24"/>
          <w:lang w:val="en-US"/>
        </w:rPr>
        <w:t xml:space="preserve"> </w:t>
      </w:r>
      <w:r w:rsidRPr="001F3A30">
        <w:rPr>
          <w:rFonts w:ascii="Times New Roman" w:hAnsi="Times New Roman" w:cs="Times New Roman"/>
          <w:sz w:val="24"/>
          <w:lang w:val="en-US"/>
        </w:rPr>
        <w:t>below</w:t>
      </w:r>
      <w:r w:rsidRPr="001F3A30">
        <w:rPr>
          <w:rFonts w:ascii="Times New Roman" w:hAnsi="Times New Roman" w:cs="Times New Roman"/>
          <w:spacing w:val="-3"/>
          <w:sz w:val="24"/>
          <w:lang w:val="en-US"/>
        </w:rPr>
        <w:t xml:space="preserve"> </w:t>
      </w:r>
      <w:r w:rsidRPr="001F3A30">
        <w:rPr>
          <w:rFonts w:ascii="Times New Roman" w:hAnsi="Times New Roman" w:cs="Times New Roman"/>
          <w:sz w:val="24"/>
          <w:lang w:val="en-US"/>
        </w:rPr>
        <w:t>in</w:t>
      </w:r>
      <w:r w:rsidRPr="001F3A30">
        <w:rPr>
          <w:rFonts w:ascii="Times New Roman" w:hAnsi="Times New Roman" w:cs="Times New Roman"/>
          <w:spacing w:val="-4"/>
          <w:sz w:val="24"/>
          <w:lang w:val="en-US"/>
        </w:rPr>
        <w:t xml:space="preserve"> </w:t>
      </w:r>
      <w:r w:rsidRPr="001F3A30">
        <w:rPr>
          <w:rFonts w:ascii="Times New Roman" w:hAnsi="Times New Roman" w:cs="Times New Roman"/>
          <w:sz w:val="24"/>
          <w:lang w:val="en-US"/>
        </w:rPr>
        <w:t>person</w:t>
      </w:r>
      <w:r w:rsidRPr="001F3A30">
        <w:rPr>
          <w:rFonts w:ascii="Times New Roman" w:hAnsi="Times New Roman" w:cs="Times New Roman"/>
          <w:spacing w:val="-3"/>
          <w:sz w:val="24"/>
          <w:lang w:val="en-US"/>
        </w:rPr>
        <w:t xml:space="preserve"> </w:t>
      </w:r>
      <w:r w:rsidRPr="001F3A30">
        <w:rPr>
          <w:rFonts w:ascii="Times New Roman" w:hAnsi="Times New Roman" w:cs="Times New Roman"/>
          <w:sz w:val="24"/>
          <w:lang w:val="en-US"/>
        </w:rPr>
        <w:t>or</w:t>
      </w:r>
      <w:r w:rsidRPr="001F3A30">
        <w:rPr>
          <w:rFonts w:ascii="Times New Roman" w:hAnsi="Times New Roman" w:cs="Times New Roman"/>
          <w:spacing w:val="-4"/>
          <w:sz w:val="24"/>
          <w:lang w:val="en-US"/>
        </w:rPr>
        <w:t xml:space="preserve"> </w:t>
      </w:r>
      <w:r w:rsidRPr="001F3A30">
        <w:rPr>
          <w:rFonts w:ascii="Times New Roman" w:hAnsi="Times New Roman" w:cs="Times New Roman"/>
          <w:sz w:val="24"/>
          <w:lang w:val="en-US"/>
        </w:rPr>
        <w:t>by</w:t>
      </w:r>
      <w:r w:rsidRPr="001F3A30">
        <w:rPr>
          <w:rFonts w:ascii="Times New Roman" w:hAnsi="Times New Roman" w:cs="Times New Roman"/>
          <w:spacing w:val="-8"/>
          <w:sz w:val="24"/>
          <w:lang w:val="en-US"/>
        </w:rPr>
        <w:t xml:space="preserve"> </w:t>
      </w:r>
      <w:r w:rsidRPr="001F3A30">
        <w:rPr>
          <w:rFonts w:ascii="Times New Roman" w:hAnsi="Times New Roman" w:cs="Times New Roman"/>
          <w:sz w:val="24"/>
          <w:lang w:val="en-US"/>
        </w:rPr>
        <w:t>e-mail,</w:t>
      </w:r>
      <w:r w:rsidRPr="001F3A30">
        <w:rPr>
          <w:rFonts w:ascii="Times New Roman" w:hAnsi="Times New Roman" w:cs="Times New Roman"/>
          <w:spacing w:val="-5"/>
          <w:sz w:val="24"/>
          <w:lang w:val="en-US"/>
        </w:rPr>
        <w:t xml:space="preserve"> </w:t>
      </w:r>
      <w:r w:rsidRPr="001F3A30">
        <w:rPr>
          <w:rFonts w:ascii="Times New Roman" w:hAnsi="Times New Roman" w:cs="Times New Roman"/>
          <w:sz w:val="24"/>
          <w:lang w:val="en-US"/>
        </w:rPr>
        <w:t>indicating</w:t>
      </w:r>
      <w:r w:rsidRPr="001F3A30">
        <w:rPr>
          <w:rFonts w:ascii="Times New Roman" w:hAnsi="Times New Roman" w:cs="Times New Roman"/>
          <w:spacing w:val="-58"/>
          <w:sz w:val="24"/>
          <w:lang w:val="en-US"/>
        </w:rPr>
        <w:t xml:space="preserve"> </w:t>
      </w:r>
      <w:r w:rsidRPr="001F3A30">
        <w:rPr>
          <w:rFonts w:ascii="Times New Roman" w:hAnsi="Times New Roman" w:cs="Times New Roman"/>
          <w:sz w:val="24"/>
          <w:lang w:val="en-US"/>
        </w:rPr>
        <w:t>the</w:t>
      </w:r>
      <w:r w:rsidRPr="001F3A30">
        <w:rPr>
          <w:rFonts w:ascii="Times New Roman" w:hAnsi="Times New Roman" w:cs="Times New Roman"/>
          <w:spacing w:val="-10"/>
          <w:sz w:val="24"/>
          <w:lang w:val="en-US"/>
        </w:rPr>
        <w:t xml:space="preserve"> </w:t>
      </w:r>
      <w:r w:rsidRPr="001F3A30">
        <w:rPr>
          <w:rFonts w:ascii="Times New Roman" w:hAnsi="Times New Roman" w:cs="Times New Roman"/>
          <w:sz w:val="24"/>
          <w:lang w:val="en-US"/>
        </w:rPr>
        <w:t>title</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and</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the</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reference</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code</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of</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the</w:t>
      </w:r>
      <w:r w:rsidRPr="001F3A30">
        <w:rPr>
          <w:rFonts w:ascii="Times New Roman" w:hAnsi="Times New Roman" w:cs="Times New Roman"/>
          <w:spacing w:val="-8"/>
          <w:sz w:val="24"/>
          <w:lang w:val="en-US"/>
        </w:rPr>
        <w:t xml:space="preserve"> </w:t>
      </w:r>
      <w:r w:rsidRPr="001F3A30">
        <w:rPr>
          <w:rFonts w:ascii="Times New Roman" w:hAnsi="Times New Roman" w:cs="Times New Roman"/>
          <w:sz w:val="24"/>
          <w:lang w:val="en-US"/>
        </w:rPr>
        <w:t>applied</w:t>
      </w:r>
      <w:r w:rsidRPr="001F3A30">
        <w:rPr>
          <w:rFonts w:ascii="Times New Roman" w:hAnsi="Times New Roman" w:cs="Times New Roman"/>
          <w:spacing w:val="-6"/>
          <w:sz w:val="24"/>
          <w:lang w:val="en-US"/>
        </w:rPr>
        <w:t xml:space="preserve"> </w:t>
      </w:r>
      <w:r w:rsidRPr="001F3A30">
        <w:rPr>
          <w:rFonts w:ascii="Times New Roman" w:hAnsi="Times New Roman" w:cs="Times New Roman"/>
          <w:sz w:val="24"/>
          <w:lang w:val="en-US"/>
        </w:rPr>
        <w:t>position</w:t>
      </w:r>
      <w:r w:rsidRPr="001F3A30">
        <w:rPr>
          <w:rFonts w:ascii="Times New Roman" w:hAnsi="Times New Roman" w:cs="Times New Roman"/>
          <w:spacing w:val="-9"/>
          <w:sz w:val="24"/>
          <w:lang w:val="en-US"/>
        </w:rPr>
        <w:t xml:space="preserve"> </w:t>
      </w:r>
      <w:r w:rsidRPr="001F3A30">
        <w:rPr>
          <w:rFonts w:ascii="Times New Roman" w:hAnsi="Times New Roman" w:cs="Times New Roman"/>
          <w:sz w:val="24"/>
          <w:lang w:val="en-US"/>
        </w:rPr>
        <w:t>in</w:t>
      </w:r>
      <w:r w:rsidRPr="001F3A30">
        <w:rPr>
          <w:rFonts w:ascii="Times New Roman" w:hAnsi="Times New Roman" w:cs="Times New Roman"/>
          <w:spacing w:val="-9"/>
          <w:sz w:val="24"/>
          <w:lang w:val="en-US"/>
        </w:rPr>
        <w:t xml:space="preserve"> </w:t>
      </w:r>
      <w:r w:rsidRPr="001F3A30">
        <w:rPr>
          <w:rFonts w:ascii="Times New Roman" w:hAnsi="Times New Roman" w:cs="Times New Roman"/>
          <w:sz w:val="24"/>
          <w:lang w:val="en-US"/>
        </w:rPr>
        <w:t>the</w:t>
      </w:r>
      <w:r w:rsidRPr="001F3A30">
        <w:rPr>
          <w:rFonts w:ascii="Times New Roman" w:hAnsi="Times New Roman" w:cs="Times New Roman"/>
          <w:spacing w:val="-7"/>
          <w:sz w:val="24"/>
          <w:lang w:val="en-US"/>
        </w:rPr>
        <w:t xml:space="preserve"> </w:t>
      </w:r>
      <w:r w:rsidRPr="001F3A30">
        <w:rPr>
          <w:rFonts w:ascii="Times New Roman" w:hAnsi="Times New Roman" w:cs="Times New Roman"/>
          <w:sz w:val="24"/>
          <w:lang w:val="en-US"/>
        </w:rPr>
        <w:t>subject</w:t>
      </w:r>
      <w:r w:rsidRPr="001F3A30">
        <w:rPr>
          <w:rFonts w:ascii="Times New Roman" w:hAnsi="Times New Roman" w:cs="Times New Roman"/>
          <w:spacing w:val="-6"/>
          <w:sz w:val="24"/>
          <w:lang w:val="en-US"/>
        </w:rPr>
        <w:t xml:space="preserve"> </w:t>
      </w:r>
      <w:r w:rsidRPr="001F3A30">
        <w:rPr>
          <w:rFonts w:ascii="Times New Roman" w:hAnsi="Times New Roman" w:cs="Times New Roman"/>
          <w:sz w:val="24"/>
          <w:lang w:val="en-US"/>
        </w:rPr>
        <w:t>line.</w:t>
      </w:r>
      <w:r w:rsidRPr="001F3A30">
        <w:rPr>
          <w:rFonts w:ascii="Times New Roman" w:hAnsi="Times New Roman" w:cs="Times New Roman"/>
          <w:spacing w:val="-6"/>
          <w:sz w:val="24"/>
          <w:lang w:val="en-US"/>
        </w:rPr>
        <w:t xml:space="preserve"> </w:t>
      </w:r>
      <w:r w:rsidRPr="001F3A30">
        <w:rPr>
          <w:rFonts w:ascii="Times New Roman" w:hAnsi="Times New Roman" w:cs="Times New Roman"/>
          <w:b/>
          <w:sz w:val="24"/>
          <w:lang w:val="en-US"/>
        </w:rPr>
        <w:t>The</w:t>
      </w:r>
      <w:r w:rsidRPr="001F3A30">
        <w:rPr>
          <w:rFonts w:ascii="Times New Roman" w:hAnsi="Times New Roman" w:cs="Times New Roman"/>
          <w:b/>
          <w:spacing w:val="-10"/>
          <w:sz w:val="24"/>
          <w:lang w:val="en-US"/>
        </w:rPr>
        <w:t xml:space="preserve"> </w:t>
      </w:r>
      <w:r w:rsidRPr="001F3A30">
        <w:rPr>
          <w:rFonts w:ascii="Times New Roman" w:hAnsi="Times New Roman" w:cs="Times New Roman"/>
          <w:b/>
          <w:sz w:val="24"/>
          <w:lang w:val="en-US"/>
        </w:rPr>
        <w:t>deadline</w:t>
      </w:r>
      <w:r w:rsidRPr="001F3A30">
        <w:rPr>
          <w:rFonts w:ascii="Times New Roman" w:hAnsi="Times New Roman" w:cs="Times New Roman"/>
          <w:b/>
          <w:spacing w:val="-10"/>
          <w:sz w:val="24"/>
          <w:lang w:val="en-US"/>
        </w:rPr>
        <w:t xml:space="preserve"> </w:t>
      </w:r>
      <w:r w:rsidRPr="001F3A30">
        <w:rPr>
          <w:rFonts w:ascii="Times New Roman" w:hAnsi="Times New Roman" w:cs="Times New Roman"/>
          <w:b/>
          <w:sz w:val="24"/>
          <w:lang w:val="en-US"/>
        </w:rPr>
        <w:t xml:space="preserve">for </w:t>
      </w:r>
      <w:r w:rsidRPr="001F3A30">
        <w:rPr>
          <w:rFonts w:ascii="Times New Roman" w:hAnsi="Times New Roman" w:cs="Times New Roman"/>
          <w:b/>
          <w:spacing w:val="-58"/>
          <w:sz w:val="24"/>
          <w:lang w:val="en-US"/>
        </w:rPr>
        <w:t xml:space="preserve"> </w:t>
      </w:r>
      <w:r w:rsidRPr="001F3A30">
        <w:rPr>
          <w:rFonts w:ascii="Times New Roman" w:hAnsi="Times New Roman" w:cs="Times New Roman"/>
          <w:b/>
          <w:sz w:val="24"/>
          <w:lang w:val="en-US"/>
        </w:rPr>
        <w:t>application</w:t>
      </w:r>
      <w:r w:rsidRPr="001F3A30">
        <w:rPr>
          <w:rFonts w:ascii="Times New Roman" w:hAnsi="Times New Roman" w:cs="Times New Roman"/>
          <w:b/>
          <w:spacing w:val="-6"/>
          <w:sz w:val="24"/>
          <w:lang w:val="en-US"/>
        </w:rPr>
        <w:t xml:space="preserve"> </w:t>
      </w:r>
      <w:r w:rsidRPr="001F3A30">
        <w:rPr>
          <w:rFonts w:ascii="Times New Roman" w:hAnsi="Times New Roman" w:cs="Times New Roman"/>
          <w:b/>
          <w:sz w:val="24"/>
          <w:lang w:val="en-US"/>
        </w:rPr>
        <w:t>is</w:t>
      </w:r>
      <w:r w:rsidRPr="001F3A30">
        <w:rPr>
          <w:rFonts w:ascii="Times New Roman" w:hAnsi="Times New Roman" w:cs="Times New Roman"/>
          <w:b/>
          <w:spacing w:val="-7"/>
          <w:sz w:val="24"/>
          <w:lang w:val="en-US"/>
        </w:rPr>
        <w:t xml:space="preserve"> </w:t>
      </w:r>
      <w:r w:rsidR="00B708B5">
        <w:rPr>
          <w:rFonts w:ascii="Times New Roman" w:hAnsi="Times New Roman" w:cs="Times New Roman"/>
          <w:b/>
          <w:sz w:val="24"/>
          <w:lang w:val="en-US"/>
        </w:rPr>
        <w:t>13</w:t>
      </w:r>
      <w:r w:rsidR="00AF6F38">
        <w:rPr>
          <w:rFonts w:ascii="Times New Roman" w:hAnsi="Times New Roman" w:cs="Times New Roman"/>
          <w:b/>
          <w:sz w:val="24"/>
          <w:lang w:val="en-US"/>
        </w:rPr>
        <w:t>.0</w:t>
      </w:r>
      <w:r w:rsidR="00B708B5">
        <w:rPr>
          <w:rFonts w:ascii="Times New Roman" w:hAnsi="Times New Roman" w:cs="Times New Roman"/>
          <w:b/>
          <w:sz w:val="24"/>
          <w:lang w:val="en-US"/>
        </w:rPr>
        <w:t>4</w:t>
      </w:r>
      <w:r>
        <w:rPr>
          <w:rFonts w:ascii="Times New Roman" w:hAnsi="Times New Roman" w:cs="Times New Roman"/>
          <w:b/>
          <w:sz w:val="24"/>
          <w:lang w:val="en-US"/>
        </w:rPr>
        <w:t>.2022</w:t>
      </w:r>
      <w:r w:rsidRPr="001F3A30">
        <w:rPr>
          <w:rFonts w:ascii="Times New Roman" w:hAnsi="Times New Roman" w:cs="Times New Roman"/>
          <w:b/>
          <w:sz w:val="24"/>
          <w:lang w:val="en-US"/>
        </w:rPr>
        <w:t>;</w:t>
      </w:r>
      <w:r w:rsidRPr="001F3A30">
        <w:rPr>
          <w:rFonts w:ascii="Times New Roman" w:hAnsi="Times New Roman" w:cs="Times New Roman"/>
          <w:b/>
          <w:spacing w:val="-7"/>
          <w:sz w:val="24"/>
          <w:lang w:val="en-US"/>
        </w:rPr>
        <w:t xml:space="preserve"> </w:t>
      </w:r>
      <w:r>
        <w:rPr>
          <w:rFonts w:ascii="Times New Roman" w:hAnsi="Times New Roman" w:cs="Times New Roman"/>
          <w:b/>
          <w:sz w:val="24"/>
          <w:lang w:val="en-US"/>
        </w:rPr>
        <w:t>1</w:t>
      </w:r>
      <w:r w:rsidR="00AF6F38">
        <w:rPr>
          <w:rFonts w:ascii="Times New Roman" w:hAnsi="Times New Roman" w:cs="Times New Roman"/>
          <w:b/>
          <w:sz w:val="24"/>
          <w:lang w:val="en-US"/>
        </w:rPr>
        <w:t>8</w:t>
      </w:r>
      <w:r w:rsidRPr="001F3A30">
        <w:rPr>
          <w:rFonts w:ascii="Times New Roman" w:hAnsi="Times New Roman" w:cs="Times New Roman"/>
          <w:b/>
          <w:sz w:val="24"/>
          <w:lang w:val="en-US"/>
        </w:rPr>
        <w:t>:</w:t>
      </w:r>
      <w:r>
        <w:rPr>
          <w:rFonts w:ascii="Times New Roman" w:hAnsi="Times New Roman" w:cs="Times New Roman"/>
          <w:b/>
          <w:sz w:val="24"/>
          <w:lang w:val="en-US"/>
        </w:rPr>
        <w:t>00</w:t>
      </w:r>
      <w:r w:rsidRPr="001F3A30">
        <w:rPr>
          <w:rFonts w:ascii="Times New Roman" w:hAnsi="Times New Roman" w:cs="Times New Roman"/>
          <w:b/>
          <w:spacing w:val="-7"/>
          <w:sz w:val="24"/>
          <w:lang w:val="en-US"/>
        </w:rPr>
        <w:t xml:space="preserve"> </w:t>
      </w:r>
      <w:r w:rsidRPr="001F3A30">
        <w:rPr>
          <w:rFonts w:ascii="Times New Roman" w:hAnsi="Times New Roman" w:cs="Times New Roman"/>
          <w:b/>
          <w:sz w:val="24"/>
          <w:lang w:val="en-US"/>
        </w:rPr>
        <w:t>p.m.</w:t>
      </w:r>
      <w:r w:rsidRPr="001F3A30">
        <w:rPr>
          <w:rFonts w:ascii="Times New Roman" w:hAnsi="Times New Roman" w:cs="Times New Roman"/>
          <w:b/>
          <w:spacing w:val="-7"/>
          <w:sz w:val="24"/>
          <w:lang w:val="en-US"/>
        </w:rPr>
        <w:t xml:space="preserve"> </w:t>
      </w:r>
      <w:r w:rsidRPr="001F3A30">
        <w:rPr>
          <w:rFonts w:ascii="Times New Roman" w:hAnsi="Times New Roman" w:cs="Times New Roman"/>
          <w:b/>
          <w:sz w:val="24"/>
          <w:lang w:val="en-US"/>
        </w:rPr>
        <w:t>(Turkey</w:t>
      </w:r>
      <w:r w:rsidRPr="001F3A30">
        <w:rPr>
          <w:rFonts w:ascii="Times New Roman" w:hAnsi="Times New Roman" w:cs="Times New Roman"/>
          <w:b/>
          <w:spacing w:val="-6"/>
          <w:sz w:val="24"/>
          <w:lang w:val="en-US"/>
        </w:rPr>
        <w:t xml:space="preserve"> </w:t>
      </w:r>
      <w:r w:rsidRPr="001F3A30">
        <w:rPr>
          <w:rFonts w:ascii="Times New Roman" w:hAnsi="Times New Roman" w:cs="Times New Roman"/>
          <w:b/>
          <w:sz w:val="24"/>
          <w:lang w:val="en-US"/>
        </w:rPr>
        <w:t>Time)</w:t>
      </w:r>
      <w:r w:rsidRPr="001F3A30">
        <w:rPr>
          <w:rFonts w:ascii="Times New Roman" w:hAnsi="Times New Roman" w:cs="Times New Roman"/>
          <w:sz w:val="24"/>
          <w:lang w:val="en-US"/>
        </w:rPr>
        <w:t>.</w:t>
      </w:r>
    </w:p>
    <w:p w14:paraId="6D7037EB" w14:textId="77777777" w:rsidR="00392ED6" w:rsidRPr="0079560A" w:rsidRDefault="00392ED6" w:rsidP="00392ED6">
      <w:pPr>
        <w:pStyle w:val="GvdeMetni"/>
        <w:rPr>
          <w:sz w:val="26"/>
          <w:lang w:val="en-US"/>
        </w:rPr>
      </w:pPr>
    </w:p>
    <w:p w14:paraId="051E2B76" w14:textId="77777777" w:rsidR="00392ED6" w:rsidRPr="006C465B" w:rsidRDefault="00392ED6" w:rsidP="00392ED6">
      <w:pPr>
        <w:pStyle w:val="GvdeMetni"/>
        <w:spacing w:before="115"/>
        <w:ind w:left="198" w:right="539"/>
        <w:rPr>
          <w:lang w:val="en-US"/>
        </w:rPr>
      </w:pPr>
      <w:r w:rsidRPr="006C465B">
        <w:rPr>
          <w:lang w:val="en-US"/>
        </w:rPr>
        <w:t xml:space="preserve">Attn: Mehmet PAZAR </w:t>
      </w:r>
    </w:p>
    <w:p w14:paraId="7175EF5C" w14:textId="77777777" w:rsidR="00392ED6" w:rsidRPr="006C465B" w:rsidRDefault="00392ED6" w:rsidP="00392ED6">
      <w:pPr>
        <w:pStyle w:val="GvdeMetni"/>
        <w:spacing w:before="115"/>
        <w:ind w:left="198" w:right="539"/>
        <w:rPr>
          <w:lang w:val="en-US"/>
        </w:rPr>
      </w:pPr>
      <w:r w:rsidRPr="006C465B">
        <w:rPr>
          <w:lang w:val="en-US"/>
        </w:rPr>
        <w:t>Branch Manager</w:t>
      </w:r>
    </w:p>
    <w:p w14:paraId="546C7DAE" w14:textId="77777777" w:rsidR="00392ED6" w:rsidRDefault="00392ED6" w:rsidP="00392ED6">
      <w:pPr>
        <w:pStyle w:val="GvdeMetni"/>
        <w:spacing w:before="115"/>
        <w:ind w:left="198" w:right="539"/>
        <w:rPr>
          <w:lang w:val="en-US"/>
        </w:rPr>
      </w:pPr>
      <w:r w:rsidRPr="006C465B">
        <w:rPr>
          <w:lang w:val="en-US"/>
        </w:rPr>
        <w:t>Project Coordination Unit Procurement Officer</w:t>
      </w:r>
    </w:p>
    <w:p w14:paraId="611E4D5B" w14:textId="77777777" w:rsidR="00392ED6" w:rsidRDefault="00392ED6" w:rsidP="00392ED6">
      <w:pPr>
        <w:pStyle w:val="GvdeMetni"/>
        <w:spacing w:before="115"/>
        <w:ind w:left="198" w:right="539"/>
        <w:rPr>
          <w:lang w:val="en-US"/>
        </w:rPr>
      </w:pPr>
      <w:r w:rsidRPr="00C21DF1">
        <w:rPr>
          <w:lang w:val="en-US"/>
        </w:rPr>
        <w:t>General Directorate of Forestry</w:t>
      </w:r>
    </w:p>
    <w:p w14:paraId="628A9165" w14:textId="77777777" w:rsidR="00392ED6" w:rsidRDefault="00392ED6" w:rsidP="00392ED6">
      <w:pPr>
        <w:pStyle w:val="GvdeMetni"/>
        <w:spacing w:before="115"/>
        <w:ind w:left="198" w:right="539"/>
        <w:rPr>
          <w:lang w:val="en-US"/>
        </w:rPr>
      </w:pPr>
      <w:r>
        <w:rPr>
          <w:lang w:val="en-US"/>
        </w:rPr>
        <w:t>Address:</w:t>
      </w:r>
      <w:r w:rsidRPr="004E2BC4">
        <w:rPr>
          <w:lang w:val="en-US"/>
        </w:rPr>
        <w:t xml:space="preserve"> Beştepe Mahallesi Söğütözü Caddesi No:8/1 06560 Yenimahalle / ANKARA</w:t>
      </w:r>
      <w:r w:rsidRPr="004E2BC4">
        <w:rPr>
          <w:lang w:val="en-US"/>
        </w:rPr>
        <w:br/>
        <w:t>Telefon: 0312 296 40 00 (PBX)</w:t>
      </w:r>
      <w:r w:rsidRPr="004E2BC4">
        <w:rPr>
          <w:lang w:val="en-US"/>
        </w:rPr>
        <w:br/>
        <w:t>KEP: </w:t>
      </w:r>
      <w:hyperlink r:id="rId8" w:history="1">
        <w:r w:rsidRPr="004E2BC4">
          <w:rPr>
            <w:lang w:val="en-US"/>
          </w:rPr>
          <w:t>ogm@ogm.hs01.kep.tr</w:t>
        </w:r>
      </w:hyperlink>
    </w:p>
    <w:p w14:paraId="78F8BAC3" w14:textId="77777777" w:rsidR="00392ED6" w:rsidRPr="0079560A" w:rsidRDefault="00392ED6" w:rsidP="00392ED6">
      <w:pPr>
        <w:pStyle w:val="GvdeMetni"/>
        <w:ind w:left="200"/>
        <w:rPr>
          <w:lang w:val="en-US"/>
        </w:rPr>
      </w:pPr>
      <w:r w:rsidRPr="0079560A">
        <w:rPr>
          <w:spacing w:val="-2"/>
          <w:lang w:val="en-US"/>
        </w:rPr>
        <w:t>E-mail:</w:t>
      </w:r>
      <w:r w:rsidRPr="0079560A">
        <w:rPr>
          <w:spacing w:val="-8"/>
          <w:lang w:val="en-US"/>
        </w:rPr>
        <w:t xml:space="preserve"> </w:t>
      </w:r>
      <w:r>
        <w:rPr>
          <w:rStyle w:val="allowtextselection"/>
          <w:rFonts w:ascii="Segoe UI" w:hAnsi="Segoe UI" w:cs="Segoe UI"/>
          <w:color w:val="2F90C4"/>
          <w:sz w:val="18"/>
          <w:szCs w:val="18"/>
        </w:rPr>
        <w:t>mehmetpazar@ogm.gov.tr</w:t>
      </w:r>
    </w:p>
    <w:p w14:paraId="7921BA54" w14:textId="77777777" w:rsidR="00392ED6" w:rsidRPr="0079560A" w:rsidRDefault="00392ED6" w:rsidP="00392ED6">
      <w:pPr>
        <w:pStyle w:val="GvdeMetni"/>
        <w:ind w:left="200"/>
        <w:rPr>
          <w:lang w:val="en-US"/>
        </w:rPr>
        <w:sectPr w:rsidR="00392ED6" w:rsidRPr="0079560A">
          <w:pgSz w:w="12240" w:h="15840"/>
          <w:pgMar w:top="1360" w:right="1260" w:bottom="280" w:left="1600" w:header="720" w:footer="720" w:gutter="0"/>
          <w:cols w:space="720"/>
        </w:sectPr>
      </w:pPr>
      <w:r w:rsidRPr="0079560A">
        <w:rPr>
          <w:spacing w:val="-2"/>
          <w:lang w:val="en-US"/>
        </w:rPr>
        <w:t>web-site:</w:t>
      </w:r>
      <w:r w:rsidRPr="0079560A">
        <w:rPr>
          <w:spacing w:val="-11"/>
          <w:lang w:val="en-US"/>
        </w:rPr>
        <w:t xml:space="preserve"> </w:t>
      </w:r>
      <w:r>
        <w:rPr>
          <w:spacing w:val="-2"/>
          <w:lang w:val="en-US"/>
        </w:rPr>
        <w:t>https://tulip.ogm.gov.tr</w:t>
      </w:r>
    </w:p>
    <w:p w14:paraId="1DF63383" w14:textId="77777777" w:rsidR="00392ED6" w:rsidRPr="0079560A" w:rsidRDefault="00392ED6" w:rsidP="00392ED6">
      <w:pPr>
        <w:pStyle w:val="GvdeMetni"/>
        <w:spacing w:before="74"/>
        <w:ind w:left="281" w:right="623"/>
        <w:jc w:val="center"/>
        <w:rPr>
          <w:lang w:val="en-US"/>
        </w:rPr>
      </w:pPr>
      <w:r w:rsidRPr="0079560A">
        <w:rPr>
          <w:lang w:val="en-US"/>
        </w:rPr>
        <w:lastRenderedPageBreak/>
        <w:t>SAMPLE</w:t>
      </w:r>
      <w:r w:rsidRPr="0079560A">
        <w:rPr>
          <w:spacing w:val="-4"/>
          <w:lang w:val="en-US"/>
        </w:rPr>
        <w:t xml:space="preserve"> </w:t>
      </w:r>
      <w:r w:rsidRPr="0079560A">
        <w:rPr>
          <w:lang w:val="en-US"/>
        </w:rPr>
        <w:t>CURRICULUM</w:t>
      </w:r>
      <w:r w:rsidRPr="0079560A">
        <w:rPr>
          <w:spacing w:val="-3"/>
          <w:lang w:val="en-US"/>
        </w:rPr>
        <w:t xml:space="preserve"> </w:t>
      </w:r>
      <w:r w:rsidRPr="0079560A">
        <w:rPr>
          <w:lang w:val="en-US"/>
        </w:rPr>
        <w:t>VITAE</w:t>
      </w:r>
    </w:p>
    <w:p w14:paraId="0922D9F9" w14:textId="77777777" w:rsidR="00392ED6" w:rsidRPr="0079560A" w:rsidRDefault="00392ED6" w:rsidP="00392ED6">
      <w:pPr>
        <w:pStyle w:val="GvdeMetni"/>
        <w:rPr>
          <w:sz w:val="20"/>
          <w:lang w:val="en-US"/>
        </w:rPr>
      </w:pPr>
    </w:p>
    <w:p w14:paraId="1910CD79" w14:textId="77777777" w:rsidR="00392ED6" w:rsidRPr="0079560A" w:rsidRDefault="00392ED6" w:rsidP="00392ED6">
      <w:pPr>
        <w:pStyle w:val="GvdeMetni"/>
        <w:spacing w:before="6"/>
        <w:rPr>
          <w:sz w:val="10"/>
          <w:lang w:val="en-US"/>
        </w:rPr>
      </w:pPr>
    </w:p>
    <w:tbl>
      <w:tblPr>
        <w:tblW w:w="0" w:type="auto"/>
        <w:tblInd w:w="115" w:type="dxa"/>
        <w:tblLayout w:type="fixed"/>
        <w:tblCellMar>
          <w:left w:w="0" w:type="dxa"/>
          <w:right w:w="0" w:type="dxa"/>
        </w:tblCellMar>
        <w:tblLook w:val="01E0" w:firstRow="1" w:lastRow="1" w:firstColumn="1" w:lastColumn="1" w:noHBand="0" w:noVBand="0"/>
      </w:tblPr>
      <w:tblGrid>
        <w:gridCol w:w="1321"/>
        <w:gridCol w:w="1409"/>
        <w:gridCol w:w="413"/>
      </w:tblGrid>
      <w:tr w:rsidR="00392ED6" w:rsidRPr="0079560A" w14:paraId="055D4140" w14:textId="77777777" w:rsidTr="00446CDA">
        <w:trPr>
          <w:trHeight w:val="330"/>
        </w:trPr>
        <w:tc>
          <w:tcPr>
            <w:tcW w:w="2730" w:type="dxa"/>
            <w:gridSpan w:val="2"/>
          </w:tcPr>
          <w:p w14:paraId="34A74E49" w14:textId="77777777" w:rsidR="00392ED6" w:rsidRPr="0079560A" w:rsidRDefault="00392ED6" w:rsidP="00446CDA">
            <w:pPr>
              <w:pStyle w:val="TableParagraph"/>
              <w:spacing w:line="266" w:lineRule="exact"/>
              <w:ind w:left="200"/>
              <w:rPr>
                <w:b/>
                <w:sz w:val="24"/>
                <w:lang w:val="en-US"/>
              </w:rPr>
            </w:pPr>
            <w:r w:rsidRPr="0079560A">
              <w:rPr>
                <w:b/>
                <w:sz w:val="24"/>
                <w:lang w:val="en-US"/>
              </w:rPr>
              <w:t>Name</w:t>
            </w:r>
            <w:r w:rsidRPr="0079560A">
              <w:rPr>
                <w:b/>
                <w:spacing w:val="-2"/>
                <w:sz w:val="24"/>
                <w:lang w:val="en-US"/>
              </w:rPr>
              <w:t xml:space="preserve"> </w:t>
            </w:r>
            <w:r w:rsidRPr="0079560A">
              <w:rPr>
                <w:b/>
                <w:sz w:val="24"/>
                <w:lang w:val="en-US"/>
              </w:rPr>
              <w:t>of Staff</w:t>
            </w:r>
          </w:p>
        </w:tc>
        <w:tc>
          <w:tcPr>
            <w:tcW w:w="413" w:type="dxa"/>
          </w:tcPr>
          <w:p w14:paraId="11730A42" w14:textId="77777777" w:rsidR="00392ED6" w:rsidRPr="0079560A" w:rsidRDefault="00392ED6" w:rsidP="00446CDA">
            <w:pPr>
              <w:pStyle w:val="TableParagraph"/>
              <w:spacing w:line="266" w:lineRule="exact"/>
              <w:ind w:left="134"/>
              <w:rPr>
                <w:b/>
                <w:sz w:val="24"/>
                <w:lang w:val="en-US"/>
              </w:rPr>
            </w:pPr>
            <w:r w:rsidRPr="0079560A">
              <w:rPr>
                <w:b/>
                <w:w w:val="99"/>
                <w:sz w:val="24"/>
                <w:lang w:val="en-US"/>
              </w:rPr>
              <w:t>:</w:t>
            </w:r>
          </w:p>
        </w:tc>
      </w:tr>
      <w:tr w:rsidR="00392ED6" w:rsidRPr="0079560A" w14:paraId="7D6560C6" w14:textId="77777777" w:rsidTr="00446CDA">
        <w:trPr>
          <w:trHeight w:val="395"/>
        </w:trPr>
        <w:tc>
          <w:tcPr>
            <w:tcW w:w="1321" w:type="dxa"/>
          </w:tcPr>
          <w:p w14:paraId="659CDB5C" w14:textId="77777777" w:rsidR="00392ED6" w:rsidRPr="0079560A" w:rsidRDefault="00392ED6" w:rsidP="00446CDA">
            <w:pPr>
              <w:pStyle w:val="TableParagraph"/>
              <w:spacing w:before="55"/>
              <w:ind w:left="200"/>
              <w:rPr>
                <w:b/>
                <w:sz w:val="24"/>
                <w:lang w:val="en-US"/>
              </w:rPr>
            </w:pPr>
            <w:r w:rsidRPr="0079560A">
              <w:rPr>
                <w:b/>
                <w:sz w:val="24"/>
                <w:lang w:val="en-US"/>
              </w:rPr>
              <w:t>Profession</w:t>
            </w:r>
          </w:p>
        </w:tc>
        <w:tc>
          <w:tcPr>
            <w:tcW w:w="1409" w:type="dxa"/>
          </w:tcPr>
          <w:p w14:paraId="4D985195" w14:textId="77777777" w:rsidR="00392ED6" w:rsidRPr="0079560A" w:rsidRDefault="00392ED6" w:rsidP="00446CDA">
            <w:pPr>
              <w:pStyle w:val="TableParagraph"/>
              <w:rPr>
                <w:sz w:val="24"/>
                <w:lang w:val="en-US"/>
              </w:rPr>
            </w:pPr>
          </w:p>
        </w:tc>
        <w:tc>
          <w:tcPr>
            <w:tcW w:w="413" w:type="dxa"/>
          </w:tcPr>
          <w:p w14:paraId="677E8FF4"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5BB4AFAA" w14:textId="77777777" w:rsidTr="00446CDA">
        <w:trPr>
          <w:trHeight w:val="395"/>
        </w:trPr>
        <w:tc>
          <w:tcPr>
            <w:tcW w:w="2730" w:type="dxa"/>
            <w:gridSpan w:val="2"/>
          </w:tcPr>
          <w:p w14:paraId="353E83AB" w14:textId="77777777" w:rsidR="00392ED6" w:rsidRPr="0079560A" w:rsidRDefault="00392ED6" w:rsidP="00446CDA">
            <w:pPr>
              <w:pStyle w:val="TableParagraph"/>
              <w:spacing w:before="55"/>
              <w:ind w:left="200"/>
              <w:rPr>
                <w:b/>
                <w:sz w:val="24"/>
                <w:lang w:val="en-US"/>
              </w:rPr>
            </w:pPr>
            <w:r w:rsidRPr="0079560A">
              <w:rPr>
                <w:b/>
                <w:sz w:val="24"/>
                <w:lang w:val="en-US"/>
              </w:rPr>
              <w:t>Date</w:t>
            </w:r>
            <w:r w:rsidRPr="0079560A">
              <w:rPr>
                <w:b/>
                <w:spacing w:val="-3"/>
                <w:sz w:val="24"/>
                <w:lang w:val="en-US"/>
              </w:rPr>
              <w:t xml:space="preserve"> </w:t>
            </w:r>
            <w:r w:rsidRPr="0079560A">
              <w:rPr>
                <w:b/>
                <w:sz w:val="24"/>
                <w:lang w:val="en-US"/>
              </w:rPr>
              <w:t>and</w:t>
            </w:r>
            <w:r w:rsidRPr="0079560A">
              <w:rPr>
                <w:b/>
                <w:spacing w:val="-1"/>
                <w:sz w:val="24"/>
                <w:lang w:val="en-US"/>
              </w:rPr>
              <w:t xml:space="preserve"> </w:t>
            </w:r>
            <w:r w:rsidRPr="0079560A">
              <w:rPr>
                <w:b/>
                <w:sz w:val="24"/>
                <w:lang w:val="en-US"/>
              </w:rPr>
              <w:t>Place</w:t>
            </w:r>
            <w:r w:rsidRPr="0079560A">
              <w:rPr>
                <w:b/>
                <w:spacing w:val="-2"/>
                <w:sz w:val="24"/>
                <w:lang w:val="en-US"/>
              </w:rPr>
              <w:t xml:space="preserve"> </w:t>
            </w:r>
            <w:r w:rsidRPr="0079560A">
              <w:rPr>
                <w:b/>
                <w:sz w:val="24"/>
                <w:lang w:val="en-US"/>
              </w:rPr>
              <w:t>of Birth</w:t>
            </w:r>
          </w:p>
        </w:tc>
        <w:tc>
          <w:tcPr>
            <w:tcW w:w="413" w:type="dxa"/>
          </w:tcPr>
          <w:p w14:paraId="3A4DF4CA"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1066CECB" w14:textId="77777777" w:rsidTr="00446CDA">
        <w:trPr>
          <w:trHeight w:val="395"/>
        </w:trPr>
        <w:tc>
          <w:tcPr>
            <w:tcW w:w="2730" w:type="dxa"/>
            <w:gridSpan w:val="2"/>
          </w:tcPr>
          <w:p w14:paraId="3DC3F522" w14:textId="77777777" w:rsidR="00392ED6" w:rsidRPr="0079560A" w:rsidRDefault="00392ED6" w:rsidP="00446CDA">
            <w:pPr>
              <w:pStyle w:val="TableParagraph"/>
              <w:spacing w:before="55"/>
              <w:ind w:left="200"/>
              <w:rPr>
                <w:b/>
                <w:sz w:val="24"/>
                <w:lang w:val="en-US"/>
              </w:rPr>
            </w:pPr>
            <w:r w:rsidRPr="0079560A">
              <w:rPr>
                <w:b/>
                <w:sz w:val="24"/>
                <w:lang w:val="en-US"/>
              </w:rPr>
              <w:t>Civil</w:t>
            </w:r>
            <w:r w:rsidRPr="0079560A">
              <w:rPr>
                <w:b/>
                <w:spacing w:val="-1"/>
                <w:sz w:val="24"/>
                <w:lang w:val="en-US"/>
              </w:rPr>
              <w:t xml:space="preserve"> </w:t>
            </w:r>
            <w:r w:rsidRPr="0079560A">
              <w:rPr>
                <w:b/>
                <w:sz w:val="24"/>
                <w:lang w:val="en-US"/>
              </w:rPr>
              <w:t>Status</w:t>
            </w:r>
          </w:p>
        </w:tc>
        <w:tc>
          <w:tcPr>
            <w:tcW w:w="413" w:type="dxa"/>
          </w:tcPr>
          <w:p w14:paraId="219FF42B"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5B8D807F" w14:textId="77777777" w:rsidTr="00446CDA">
        <w:trPr>
          <w:trHeight w:val="396"/>
        </w:trPr>
        <w:tc>
          <w:tcPr>
            <w:tcW w:w="2730" w:type="dxa"/>
            <w:gridSpan w:val="2"/>
          </w:tcPr>
          <w:p w14:paraId="53180BED" w14:textId="77777777" w:rsidR="00392ED6" w:rsidRPr="0079560A" w:rsidRDefault="00392ED6" w:rsidP="00446CDA">
            <w:pPr>
              <w:pStyle w:val="TableParagraph"/>
              <w:spacing w:before="55"/>
              <w:ind w:left="200"/>
              <w:rPr>
                <w:b/>
                <w:sz w:val="24"/>
                <w:lang w:val="en-US"/>
              </w:rPr>
            </w:pPr>
            <w:r w:rsidRPr="0079560A">
              <w:rPr>
                <w:b/>
                <w:sz w:val="24"/>
                <w:lang w:val="en-US"/>
              </w:rPr>
              <w:t>Home</w:t>
            </w:r>
            <w:r w:rsidRPr="0079560A">
              <w:rPr>
                <w:b/>
                <w:spacing w:val="-1"/>
                <w:sz w:val="24"/>
                <w:lang w:val="en-US"/>
              </w:rPr>
              <w:t xml:space="preserve"> </w:t>
            </w:r>
            <w:r w:rsidRPr="0079560A">
              <w:rPr>
                <w:b/>
                <w:sz w:val="24"/>
                <w:lang w:val="en-US"/>
              </w:rPr>
              <w:t>Address</w:t>
            </w:r>
          </w:p>
        </w:tc>
        <w:tc>
          <w:tcPr>
            <w:tcW w:w="413" w:type="dxa"/>
          </w:tcPr>
          <w:p w14:paraId="5C8E5631"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4094B99D" w14:textId="77777777" w:rsidTr="00446CDA">
        <w:trPr>
          <w:trHeight w:val="396"/>
        </w:trPr>
        <w:tc>
          <w:tcPr>
            <w:tcW w:w="1321" w:type="dxa"/>
          </w:tcPr>
          <w:p w14:paraId="5E877B26" w14:textId="77777777" w:rsidR="00392ED6" w:rsidRPr="0079560A" w:rsidRDefault="00392ED6" w:rsidP="00446CDA">
            <w:pPr>
              <w:pStyle w:val="TableParagraph"/>
              <w:spacing w:before="55"/>
              <w:ind w:left="200"/>
              <w:rPr>
                <w:b/>
                <w:sz w:val="24"/>
                <w:lang w:val="en-US"/>
              </w:rPr>
            </w:pPr>
            <w:r w:rsidRPr="0079560A">
              <w:rPr>
                <w:b/>
                <w:sz w:val="24"/>
                <w:lang w:val="en-US"/>
              </w:rPr>
              <w:t>Phone</w:t>
            </w:r>
          </w:p>
        </w:tc>
        <w:tc>
          <w:tcPr>
            <w:tcW w:w="1409" w:type="dxa"/>
          </w:tcPr>
          <w:p w14:paraId="0E8C5A0B" w14:textId="77777777" w:rsidR="00392ED6" w:rsidRPr="0079560A" w:rsidRDefault="00392ED6" w:rsidP="00446CDA">
            <w:pPr>
              <w:pStyle w:val="TableParagraph"/>
              <w:spacing w:before="55"/>
              <w:ind w:left="402"/>
              <w:rPr>
                <w:b/>
                <w:sz w:val="24"/>
                <w:lang w:val="en-US"/>
              </w:rPr>
            </w:pPr>
            <w:r w:rsidRPr="0079560A">
              <w:rPr>
                <w:b/>
                <w:sz w:val="24"/>
                <w:lang w:val="en-US"/>
              </w:rPr>
              <w:t>home</w:t>
            </w:r>
          </w:p>
        </w:tc>
        <w:tc>
          <w:tcPr>
            <w:tcW w:w="413" w:type="dxa"/>
          </w:tcPr>
          <w:p w14:paraId="3967076D"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6DDA5313" w14:textId="77777777" w:rsidTr="00446CDA">
        <w:trPr>
          <w:trHeight w:val="395"/>
        </w:trPr>
        <w:tc>
          <w:tcPr>
            <w:tcW w:w="1321" w:type="dxa"/>
          </w:tcPr>
          <w:p w14:paraId="24A18DC9" w14:textId="77777777" w:rsidR="00392ED6" w:rsidRPr="0079560A" w:rsidRDefault="00392ED6" w:rsidP="00446CDA">
            <w:pPr>
              <w:pStyle w:val="TableParagraph"/>
              <w:rPr>
                <w:sz w:val="24"/>
                <w:lang w:val="en-US"/>
              </w:rPr>
            </w:pPr>
          </w:p>
        </w:tc>
        <w:tc>
          <w:tcPr>
            <w:tcW w:w="1409" w:type="dxa"/>
          </w:tcPr>
          <w:p w14:paraId="64C91203" w14:textId="77777777" w:rsidR="00392ED6" w:rsidRPr="0079560A" w:rsidRDefault="00392ED6" w:rsidP="00446CDA">
            <w:pPr>
              <w:pStyle w:val="TableParagraph"/>
              <w:spacing w:before="55"/>
              <w:ind w:left="402"/>
              <w:rPr>
                <w:b/>
                <w:sz w:val="24"/>
                <w:lang w:val="en-US"/>
              </w:rPr>
            </w:pPr>
            <w:r w:rsidRPr="0079560A">
              <w:rPr>
                <w:b/>
                <w:sz w:val="24"/>
                <w:lang w:val="en-US"/>
              </w:rPr>
              <w:t>mobile</w:t>
            </w:r>
          </w:p>
        </w:tc>
        <w:tc>
          <w:tcPr>
            <w:tcW w:w="413" w:type="dxa"/>
          </w:tcPr>
          <w:p w14:paraId="10C4ED8F"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4C1DEED9" w14:textId="77777777" w:rsidTr="00446CDA">
        <w:trPr>
          <w:trHeight w:val="396"/>
        </w:trPr>
        <w:tc>
          <w:tcPr>
            <w:tcW w:w="1321" w:type="dxa"/>
          </w:tcPr>
          <w:p w14:paraId="6BB1EEB8" w14:textId="77777777" w:rsidR="00392ED6" w:rsidRPr="0079560A" w:rsidRDefault="00392ED6" w:rsidP="00446CDA">
            <w:pPr>
              <w:pStyle w:val="TableParagraph"/>
              <w:spacing w:before="55"/>
              <w:ind w:left="200"/>
              <w:rPr>
                <w:b/>
                <w:sz w:val="24"/>
                <w:lang w:val="en-US"/>
              </w:rPr>
            </w:pPr>
            <w:r w:rsidRPr="0079560A">
              <w:rPr>
                <w:b/>
                <w:sz w:val="24"/>
                <w:lang w:val="en-US"/>
              </w:rPr>
              <w:t>E-Mail</w:t>
            </w:r>
          </w:p>
        </w:tc>
        <w:tc>
          <w:tcPr>
            <w:tcW w:w="1409" w:type="dxa"/>
          </w:tcPr>
          <w:p w14:paraId="241FFB90" w14:textId="77777777" w:rsidR="00392ED6" w:rsidRPr="0079560A" w:rsidRDefault="00392ED6" w:rsidP="00446CDA">
            <w:pPr>
              <w:pStyle w:val="TableParagraph"/>
              <w:rPr>
                <w:sz w:val="24"/>
                <w:lang w:val="en-US"/>
              </w:rPr>
            </w:pPr>
          </w:p>
        </w:tc>
        <w:tc>
          <w:tcPr>
            <w:tcW w:w="413" w:type="dxa"/>
          </w:tcPr>
          <w:p w14:paraId="7A027A62" w14:textId="77777777" w:rsidR="00392ED6" w:rsidRPr="0079560A" w:rsidRDefault="00392ED6" w:rsidP="00446CDA">
            <w:pPr>
              <w:pStyle w:val="TableParagraph"/>
              <w:spacing w:before="55"/>
              <w:ind w:left="134"/>
              <w:rPr>
                <w:b/>
                <w:sz w:val="24"/>
                <w:lang w:val="en-US"/>
              </w:rPr>
            </w:pPr>
            <w:r w:rsidRPr="0079560A">
              <w:rPr>
                <w:b/>
                <w:w w:val="99"/>
                <w:sz w:val="24"/>
                <w:lang w:val="en-US"/>
              </w:rPr>
              <w:t>:</w:t>
            </w:r>
          </w:p>
        </w:tc>
      </w:tr>
      <w:tr w:rsidR="00392ED6" w:rsidRPr="0079560A" w14:paraId="0317C51C" w14:textId="77777777" w:rsidTr="00446CDA">
        <w:trPr>
          <w:trHeight w:val="331"/>
        </w:trPr>
        <w:tc>
          <w:tcPr>
            <w:tcW w:w="2730" w:type="dxa"/>
            <w:gridSpan w:val="2"/>
          </w:tcPr>
          <w:p w14:paraId="3360CE61" w14:textId="77777777" w:rsidR="00392ED6" w:rsidRPr="0079560A" w:rsidRDefault="00392ED6" w:rsidP="00446CDA">
            <w:pPr>
              <w:pStyle w:val="TableParagraph"/>
              <w:spacing w:before="55" w:line="256" w:lineRule="exact"/>
              <w:ind w:left="200"/>
              <w:rPr>
                <w:b/>
                <w:sz w:val="24"/>
                <w:lang w:val="en-US"/>
              </w:rPr>
            </w:pPr>
            <w:r w:rsidRPr="0079560A">
              <w:rPr>
                <w:b/>
                <w:sz w:val="24"/>
                <w:lang w:val="en-US"/>
              </w:rPr>
              <w:t>POSITION</w:t>
            </w:r>
            <w:r w:rsidRPr="0079560A">
              <w:rPr>
                <w:b/>
                <w:spacing w:val="-3"/>
                <w:sz w:val="24"/>
                <w:lang w:val="en-US"/>
              </w:rPr>
              <w:t xml:space="preserve"> </w:t>
            </w:r>
            <w:r w:rsidRPr="0079560A">
              <w:rPr>
                <w:b/>
                <w:sz w:val="24"/>
                <w:lang w:val="en-US"/>
              </w:rPr>
              <w:t>APPLIED</w:t>
            </w:r>
          </w:p>
        </w:tc>
        <w:tc>
          <w:tcPr>
            <w:tcW w:w="413" w:type="dxa"/>
          </w:tcPr>
          <w:p w14:paraId="23DA2706" w14:textId="77777777" w:rsidR="00392ED6" w:rsidRPr="0079560A" w:rsidRDefault="00392ED6" w:rsidP="00446CDA">
            <w:pPr>
              <w:pStyle w:val="TableParagraph"/>
              <w:spacing w:before="55" w:line="256" w:lineRule="exact"/>
              <w:ind w:left="134"/>
              <w:rPr>
                <w:b/>
                <w:sz w:val="24"/>
                <w:lang w:val="en-US"/>
              </w:rPr>
            </w:pPr>
            <w:r w:rsidRPr="0079560A">
              <w:rPr>
                <w:b/>
                <w:w w:val="99"/>
                <w:sz w:val="24"/>
                <w:lang w:val="en-US"/>
              </w:rPr>
              <w:t>:</w:t>
            </w:r>
          </w:p>
        </w:tc>
      </w:tr>
    </w:tbl>
    <w:p w14:paraId="41F171ED" w14:textId="77777777" w:rsidR="00392ED6" w:rsidRPr="0079560A" w:rsidRDefault="00392ED6" w:rsidP="00392ED6">
      <w:pPr>
        <w:pStyle w:val="GvdeMetni"/>
        <w:spacing w:before="7"/>
        <w:rPr>
          <w:sz w:val="29"/>
          <w:lang w:val="en-US"/>
        </w:rPr>
      </w:pPr>
    </w:p>
    <w:p w14:paraId="66AC7820" w14:textId="77777777" w:rsidR="00392ED6" w:rsidRPr="0079560A" w:rsidRDefault="00392ED6" w:rsidP="00392ED6">
      <w:pPr>
        <w:pStyle w:val="Balk1"/>
        <w:spacing w:before="1" w:line="274" w:lineRule="exact"/>
        <w:rPr>
          <w:lang w:val="en-US"/>
        </w:rPr>
      </w:pPr>
      <w:r w:rsidRPr="0079560A">
        <w:rPr>
          <w:lang w:val="en-US"/>
        </w:rPr>
        <w:t>KEY</w:t>
      </w:r>
      <w:r w:rsidRPr="0079560A">
        <w:rPr>
          <w:spacing w:val="-3"/>
          <w:lang w:val="en-US"/>
        </w:rPr>
        <w:t xml:space="preserve"> </w:t>
      </w:r>
      <w:r w:rsidRPr="0079560A">
        <w:rPr>
          <w:lang w:val="en-US"/>
        </w:rPr>
        <w:t>QUALIFICATIONS</w:t>
      </w:r>
    </w:p>
    <w:p w14:paraId="01894B1B" w14:textId="77777777" w:rsidR="00392ED6" w:rsidRPr="0079560A" w:rsidRDefault="00392ED6" w:rsidP="00392ED6">
      <w:pPr>
        <w:pStyle w:val="GvdeMetni"/>
        <w:spacing w:line="273" w:lineRule="exact"/>
        <w:ind w:left="200"/>
        <w:rPr>
          <w:lang w:val="en-US"/>
        </w:rPr>
      </w:pPr>
      <w:r w:rsidRPr="0079560A">
        <w:rPr>
          <w:lang w:val="en-US"/>
        </w:rPr>
        <w:t>Specific</w:t>
      </w:r>
      <w:r w:rsidRPr="0079560A">
        <w:rPr>
          <w:spacing w:val="-2"/>
          <w:lang w:val="en-US"/>
        </w:rPr>
        <w:t xml:space="preserve"> </w:t>
      </w:r>
      <w:r w:rsidRPr="0079560A">
        <w:rPr>
          <w:lang w:val="en-US"/>
        </w:rPr>
        <w:t>experience</w:t>
      </w:r>
      <w:r w:rsidRPr="0079560A">
        <w:rPr>
          <w:spacing w:val="-2"/>
          <w:lang w:val="en-US"/>
        </w:rPr>
        <w:t xml:space="preserve"> </w:t>
      </w:r>
      <w:r w:rsidRPr="0079560A">
        <w:rPr>
          <w:lang w:val="en-US"/>
        </w:rPr>
        <w:t>in:</w:t>
      </w:r>
    </w:p>
    <w:p w14:paraId="0B12F85E"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71CEF268"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2B367755"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638CB731"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285CBF4C" w14:textId="77777777" w:rsidR="00392ED6" w:rsidRPr="0079560A" w:rsidRDefault="00392ED6" w:rsidP="00392ED6">
      <w:pPr>
        <w:pStyle w:val="GvdeMetni"/>
        <w:rPr>
          <w:rFonts w:ascii="Symbol" w:hAnsi="Symbol"/>
          <w:sz w:val="23"/>
          <w:lang w:val="en-US"/>
        </w:rPr>
      </w:pPr>
    </w:p>
    <w:p w14:paraId="0923A10D" w14:textId="77777777" w:rsidR="00392ED6" w:rsidRPr="0079560A" w:rsidRDefault="00392ED6" w:rsidP="00392ED6">
      <w:pPr>
        <w:pStyle w:val="Balk1"/>
        <w:spacing w:line="276" w:lineRule="exact"/>
        <w:rPr>
          <w:lang w:val="en-US"/>
        </w:rPr>
      </w:pPr>
      <w:r w:rsidRPr="0079560A">
        <w:rPr>
          <w:lang w:val="en-US"/>
        </w:rPr>
        <w:t>EDUCATIONAL</w:t>
      </w:r>
      <w:r w:rsidRPr="0079560A">
        <w:rPr>
          <w:spacing w:val="-7"/>
          <w:lang w:val="en-US"/>
        </w:rPr>
        <w:t xml:space="preserve"> </w:t>
      </w:r>
      <w:r w:rsidRPr="0079560A">
        <w:rPr>
          <w:lang w:val="en-US"/>
        </w:rPr>
        <w:t>BACKGROUND</w:t>
      </w:r>
    </w:p>
    <w:p w14:paraId="36E62C6A"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3742BD4B" w14:textId="77777777" w:rsidR="00392ED6" w:rsidRPr="0079560A" w:rsidRDefault="00392ED6" w:rsidP="00392ED6">
      <w:pPr>
        <w:spacing w:line="291" w:lineRule="exact"/>
        <w:ind w:left="560"/>
        <w:rPr>
          <w:rFonts w:ascii="Symbol" w:hAnsi="Symbol"/>
          <w:sz w:val="24"/>
          <w:lang w:val="en-US"/>
        </w:rPr>
      </w:pPr>
      <w:r w:rsidRPr="0079560A">
        <w:rPr>
          <w:rFonts w:ascii="Symbol" w:hAnsi="Symbol"/>
          <w:sz w:val="24"/>
          <w:lang w:val="en-US"/>
        </w:rPr>
        <w:t></w:t>
      </w:r>
    </w:p>
    <w:p w14:paraId="1664B779" w14:textId="77777777" w:rsidR="00392ED6" w:rsidRPr="0079560A" w:rsidRDefault="00392ED6" w:rsidP="00392ED6">
      <w:pPr>
        <w:spacing w:line="291" w:lineRule="exact"/>
        <w:ind w:left="560"/>
        <w:rPr>
          <w:rFonts w:ascii="Symbol" w:hAnsi="Symbol"/>
          <w:sz w:val="24"/>
          <w:lang w:val="en-US"/>
        </w:rPr>
      </w:pPr>
      <w:r w:rsidRPr="0079560A">
        <w:rPr>
          <w:rFonts w:ascii="Symbol" w:hAnsi="Symbol"/>
          <w:sz w:val="24"/>
          <w:lang w:val="en-US"/>
        </w:rPr>
        <w:t></w:t>
      </w:r>
    </w:p>
    <w:p w14:paraId="30DF4C8A"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01880ABA" w14:textId="77777777" w:rsidR="00392ED6" w:rsidRPr="0079560A" w:rsidRDefault="00392ED6" w:rsidP="00392ED6">
      <w:pPr>
        <w:pStyle w:val="GvdeMetni"/>
        <w:spacing w:before="11"/>
        <w:rPr>
          <w:rFonts w:ascii="Symbol" w:hAnsi="Symbol"/>
          <w:sz w:val="22"/>
          <w:lang w:val="en-US"/>
        </w:rPr>
      </w:pPr>
    </w:p>
    <w:p w14:paraId="5B1024B6" w14:textId="77777777" w:rsidR="00392ED6" w:rsidRPr="0079560A" w:rsidRDefault="00392ED6" w:rsidP="00392ED6">
      <w:pPr>
        <w:pStyle w:val="Balk1"/>
        <w:rPr>
          <w:lang w:val="en-US"/>
        </w:rPr>
      </w:pPr>
      <w:r w:rsidRPr="0079560A">
        <w:rPr>
          <w:lang w:val="en-US"/>
        </w:rPr>
        <w:t>PROFESSIONAL</w:t>
      </w:r>
      <w:r w:rsidRPr="0079560A">
        <w:rPr>
          <w:spacing w:val="-6"/>
          <w:lang w:val="en-US"/>
        </w:rPr>
        <w:t xml:space="preserve"> </w:t>
      </w:r>
      <w:r w:rsidRPr="0079560A">
        <w:rPr>
          <w:lang w:val="en-US"/>
        </w:rPr>
        <w:t>EXPERIENCES</w:t>
      </w:r>
    </w:p>
    <w:p w14:paraId="155D3B3A" w14:textId="77777777" w:rsidR="00392ED6" w:rsidRPr="0079560A" w:rsidRDefault="00392ED6" w:rsidP="00392ED6">
      <w:pPr>
        <w:spacing w:line="276" w:lineRule="exact"/>
        <w:ind w:left="200"/>
        <w:rPr>
          <w:b/>
          <w:sz w:val="24"/>
          <w:lang w:val="en-US"/>
        </w:rPr>
      </w:pPr>
      <w:r w:rsidRPr="0079560A">
        <w:rPr>
          <w:b/>
          <w:sz w:val="24"/>
          <w:lang w:val="en-US"/>
        </w:rPr>
        <w:t>(Employment</w:t>
      </w:r>
      <w:r w:rsidRPr="0079560A">
        <w:rPr>
          <w:b/>
          <w:spacing w:val="-9"/>
          <w:sz w:val="24"/>
          <w:lang w:val="en-US"/>
        </w:rPr>
        <w:t xml:space="preserve"> </w:t>
      </w:r>
      <w:r w:rsidRPr="0079560A">
        <w:rPr>
          <w:b/>
          <w:sz w:val="24"/>
          <w:lang w:val="en-US"/>
        </w:rPr>
        <w:t>Record)</w:t>
      </w:r>
    </w:p>
    <w:p w14:paraId="34B5EE99"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428F24D8"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08855454"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7E00D688" w14:textId="77777777" w:rsidR="00392ED6" w:rsidRPr="0079560A" w:rsidRDefault="00392ED6" w:rsidP="00392ED6">
      <w:pPr>
        <w:pStyle w:val="GvdeMetni"/>
        <w:spacing w:before="8"/>
        <w:rPr>
          <w:rFonts w:ascii="Symbol" w:hAnsi="Symbol"/>
          <w:sz w:val="22"/>
          <w:lang w:val="en-US"/>
        </w:rPr>
      </w:pPr>
    </w:p>
    <w:p w14:paraId="01330C35" w14:textId="77777777" w:rsidR="00392ED6" w:rsidRPr="0079560A" w:rsidRDefault="00392ED6" w:rsidP="00392ED6">
      <w:pPr>
        <w:ind w:left="200"/>
        <w:rPr>
          <w:b/>
          <w:sz w:val="24"/>
          <w:lang w:val="en-US"/>
        </w:rPr>
      </w:pPr>
      <w:r w:rsidRPr="0079560A">
        <w:rPr>
          <w:b/>
          <w:sz w:val="24"/>
          <w:lang w:val="en-US"/>
        </w:rPr>
        <w:t>Language</w:t>
      </w:r>
      <w:r w:rsidRPr="0079560A">
        <w:rPr>
          <w:b/>
          <w:spacing w:val="-7"/>
          <w:sz w:val="24"/>
          <w:lang w:val="en-US"/>
        </w:rPr>
        <w:t xml:space="preserve"> </w:t>
      </w:r>
      <w:r w:rsidRPr="0079560A">
        <w:rPr>
          <w:b/>
          <w:sz w:val="24"/>
          <w:lang w:val="en-US"/>
        </w:rPr>
        <w:t>Proficiency:</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262"/>
        <w:gridCol w:w="2257"/>
      </w:tblGrid>
      <w:tr w:rsidR="00392ED6" w:rsidRPr="0079560A" w14:paraId="7CB195D6" w14:textId="77777777" w:rsidTr="00446CDA">
        <w:trPr>
          <w:trHeight w:val="275"/>
        </w:trPr>
        <w:tc>
          <w:tcPr>
            <w:tcW w:w="2168" w:type="dxa"/>
          </w:tcPr>
          <w:p w14:paraId="1E67F6D7" w14:textId="77777777" w:rsidR="00392ED6" w:rsidRPr="0079560A" w:rsidRDefault="00392ED6" w:rsidP="00446CDA">
            <w:pPr>
              <w:pStyle w:val="TableParagraph"/>
              <w:spacing w:line="256" w:lineRule="exact"/>
              <w:ind w:left="107"/>
              <w:rPr>
                <w:sz w:val="24"/>
                <w:lang w:val="en-US"/>
              </w:rPr>
            </w:pPr>
            <w:r w:rsidRPr="0079560A">
              <w:rPr>
                <w:sz w:val="24"/>
                <w:lang w:val="en-US"/>
              </w:rPr>
              <w:t>1.</w:t>
            </w:r>
          </w:p>
        </w:tc>
        <w:tc>
          <w:tcPr>
            <w:tcW w:w="2271" w:type="dxa"/>
          </w:tcPr>
          <w:p w14:paraId="157568AE" w14:textId="77777777" w:rsidR="00392ED6" w:rsidRPr="0079560A" w:rsidRDefault="00392ED6" w:rsidP="00446CDA">
            <w:pPr>
              <w:pStyle w:val="TableParagraph"/>
              <w:spacing w:line="256" w:lineRule="exact"/>
              <w:ind w:left="681"/>
              <w:rPr>
                <w:sz w:val="24"/>
                <w:lang w:val="en-US"/>
              </w:rPr>
            </w:pPr>
            <w:r w:rsidRPr="0079560A">
              <w:rPr>
                <w:sz w:val="24"/>
                <w:lang w:val="en-US"/>
              </w:rPr>
              <w:t>Excellent</w:t>
            </w:r>
          </w:p>
        </w:tc>
        <w:tc>
          <w:tcPr>
            <w:tcW w:w="2262" w:type="dxa"/>
          </w:tcPr>
          <w:p w14:paraId="543DA0A2" w14:textId="77777777" w:rsidR="00392ED6" w:rsidRPr="0079560A" w:rsidRDefault="00392ED6" w:rsidP="00446CDA">
            <w:pPr>
              <w:pStyle w:val="TableParagraph"/>
              <w:spacing w:line="256" w:lineRule="exact"/>
              <w:ind w:left="840" w:right="837"/>
              <w:jc w:val="center"/>
              <w:rPr>
                <w:sz w:val="24"/>
                <w:lang w:val="en-US"/>
              </w:rPr>
            </w:pPr>
            <w:r w:rsidRPr="0079560A">
              <w:rPr>
                <w:sz w:val="24"/>
                <w:lang w:val="en-US"/>
              </w:rPr>
              <w:t>Good</w:t>
            </w:r>
          </w:p>
        </w:tc>
        <w:tc>
          <w:tcPr>
            <w:tcW w:w="2257" w:type="dxa"/>
          </w:tcPr>
          <w:p w14:paraId="5B4838A2" w14:textId="77777777" w:rsidR="00392ED6" w:rsidRPr="0079560A" w:rsidRDefault="00392ED6" w:rsidP="00446CDA">
            <w:pPr>
              <w:pStyle w:val="TableParagraph"/>
              <w:spacing w:line="256" w:lineRule="exact"/>
              <w:ind w:left="876" w:right="876"/>
              <w:jc w:val="center"/>
              <w:rPr>
                <w:sz w:val="24"/>
                <w:lang w:val="en-US"/>
              </w:rPr>
            </w:pPr>
            <w:r w:rsidRPr="0079560A">
              <w:rPr>
                <w:sz w:val="24"/>
                <w:lang w:val="en-US"/>
              </w:rPr>
              <w:t>Poor</w:t>
            </w:r>
          </w:p>
        </w:tc>
      </w:tr>
      <w:tr w:rsidR="00392ED6" w:rsidRPr="0079560A" w14:paraId="2248A7AE" w14:textId="77777777" w:rsidTr="00446CDA">
        <w:trPr>
          <w:trHeight w:val="276"/>
        </w:trPr>
        <w:tc>
          <w:tcPr>
            <w:tcW w:w="2168" w:type="dxa"/>
          </w:tcPr>
          <w:p w14:paraId="43CE1DAA" w14:textId="77777777" w:rsidR="00392ED6" w:rsidRPr="0079560A" w:rsidRDefault="00392ED6" w:rsidP="00446CDA">
            <w:pPr>
              <w:pStyle w:val="TableParagraph"/>
              <w:spacing w:line="256" w:lineRule="exact"/>
              <w:ind w:left="107"/>
              <w:rPr>
                <w:sz w:val="24"/>
                <w:lang w:val="en-US"/>
              </w:rPr>
            </w:pPr>
            <w:r w:rsidRPr="0079560A">
              <w:rPr>
                <w:sz w:val="24"/>
                <w:lang w:val="en-US"/>
              </w:rPr>
              <w:t>Reading</w:t>
            </w:r>
          </w:p>
        </w:tc>
        <w:tc>
          <w:tcPr>
            <w:tcW w:w="2271" w:type="dxa"/>
          </w:tcPr>
          <w:p w14:paraId="5554E463" w14:textId="77777777" w:rsidR="00392ED6" w:rsidRPr="0079560A" w:rsidRDefault="00392ED6" w:rsidP="00446CDA">
            <w:pPr>
              <w:pStyle w:val="TableParagraph"/>
              <w:rPr>
                <w:sz w:val="20"/>
                <w:lang w:val="en-US"/>
              </w:rPr>
            </w:pPr>
          </w:p>
        </w:tc>
        <w:tc>
          <w:tcPr>
            <w:tcW w:w="2262" w:type="dxa"/>
          </w:tcPr>
          <w:p w14:paraId="34CA9DCE" w14:textId="77777777" w:rsidR="00392ED6" w:rsidRPr="0079560A" w:rsidRDefault="00392ED6" w:rsidP="00446CDA">
            <w:pPr>
              <w:pStyle w:val="TableParagraph"/>
              <w:rPr>
                <w:sz w:val="20"/>
                <w:lang w:val="en-US"/>
              </w:rPr>
            </w:pPr>
          </w:p>
        </w:tc>
        <w:tc>
          <w:tcPr>
            <w:tcW w:w="2257" w:type="dxa"/>
          </w:tcPr>
          <w:p w14:paraId="5C14BAA1" w14:textId="77777777" w:rsidR="00392ED6" w:rsidRPr="0079560A" w:rsidRDefault="00392ED6" w:rsidP="00446CDA">
            <w:pPr>
              <w:pStyle w:val="TableParagraph"/>
              <w:rPr>
                <w:sz w:val="20"/>
                <w:lang w:val="en-US"/>
              </w:rPr>
            </w:pPr>
          </w:p>
        </w:tc>
      </w:tr>
      <w:tr w:rsidR="00392ED6" w:rsidRPr="0079560A" w14:paraId="5078F39F" w14:textId="77777777" w:rsidTr="00446CDA">
        <w:trPr>
          <w:trHeight w:val="275"/>
        </w:trPr>
        <w:tc>
          <w:tcPr>
            <w:tcW w:w="2168" w:type="dxa"/>
          </w:tcPr>
          <w:p w14:paraId="585574FB" w14:textId="77777777" w:rsidR="00392ED6" w:rsidRPr="0079560A" w:rsidRDefault="00392ED6" w:rsidP="00446CDA">
            <w:pPr>
              <w:pStyle w:val="TableParagraph"/>
              <w:spacing w:line="256" w:lineRule="exact"/>
              <w:ind w:left="107"/>
              <w:rPr>
                <w:sz w:val="24"/>
                <w:lang w:val="en-US"/>
              </w:rPr>
            </w:pPr>
            <w:r w:rsidRPr="0079560A">
              <w:rPr>
                <w:sz w:val="24"/>
                <w:lang w:val="en-US"/>
              </w:rPr>
              <w:t>Writing</w:t>
            </w:r>
          </w:p>
        </w:tc>
        <w:tc>
          <w:tcPr>
            <w:tcW w:w="2271" w:type="dxa"/>
          </w:tcPr>
          <w:p w14:paraId="6175B8EB" w14:textId="77777777" w:rsidR="00392ED6" w:rsidRPr="0079560A" w:rsidRDefault="00392ED6" w:rsidP="00446CDA">
            <w:pPr>
              <w:pStyle w:val="TableParagraph"/>
              <w:rPr>
                <w:sz w:val="20"/>
                <w:lang w:val="en-US"/>
              </w:rPr>
            </w:pPr>
          </w:p>
        </w:tc>
        <w:tc>
          <w:tcPr>
            <w:tcW w:w="2262" w:type="dxa"/>
          </w:tcPr>
          <w:p w14:paraId="7C43F33F" w14:textId="77777777" w:rsidR="00392ED6" w:rsidRPr="0079560A" w:rsidRDefault="00392ED6" w:rsidP="00446CDA">
            <w:pPr>
              <w:pStyle w:val="TableParagraph"/>
              <w:rPr>
                <w:sz w:val="20"/>
                <w:lang w:val="en-US"/>
              </w:rPr>
            </w:pPr>
          </w:p>
        </w:tc>
        <w:tc>
          <w:tcPr>
            <w:tcW w:w="2257" w:type="dxa"/>
          </w:tcPr>
          <w:p w14:paraId="55D7BCF5" w14:textId="77777777" w:rsidR="00392ED6" w:rsidRPr="0079560A" w:rsidRDefault="00392ED6" w:rsidP="00446CDA">
            <w:pPr>
              <w:pStyle w:val="TableParagraph"/>
              <w:rPr>
                <w:sz w:val="20"/>
                <w:lang w:val="en-US"/>
              </w:rPr>
            </w:pPr>
          </w:p>
        </w:tc>
      </w:tr>
      <w:tr w:rsidR="00392ED6" w:rsidRPr="0079560A" w14:paraId="0BAE7C89" w14:textId="77777777" w:rsidTr="00446CDA">
        <w:trPr>
          <w:trHeight w:val="275"/>
        </w:trPr>
        <w:tc>
          <w:tcPr>
            <w:tcW w:w="2168" w:type="dxa"/>
          </w:tcPr>
          <w:p w14:paraId="4B26F4D3" w14:textId="77777777" w:rsidR="00392ED6" w:rsidRPr="0079560A" w:rsidRDefault="00392ED6" w:rsidP="00446CDA">
            <w:pPr>
              <w:pStyle w:val="TableParagraph"/>
              <w:spacing w:line="256" w:lineRule="exact"/>
              <w:ind w:left="107"/>
              <w:rPr>
                <w:sz w:val="24"/>
                <w:lang w:val="en-US"/>
              </w:rPr>
            </w:pPr>
            <w:r w:rsidRPr="0079560A">
              <w:rPr>
                <w:sz w:val="24"/>
                <w:lang w:val="en-US"/>
              </w:rPr>
              <w:t>Speaking</w:t>
            </w:r>
          </w:p>
        </w:tc>
        <w:tc>
          <w:tcPr>
            <w:tcW w:w="2271" w:type="dxa"/>
          </w:tcPr>
          <w:p w14:paraId="308B293B" w14:textId="77777777" w:rsidR="00392ED6" w:rsidRPr="0079560A" w:rsidRDefault="00392ED6" w:rsidP="00446CDA">
            <w:pPr>
              <w:pStyle w:val="TableParagraph"/>
              <w:rPr>
                <w:sz w:val="20"/>
                <w:lang w:val="en-US"/>
              </w:rPr>
            </w:pPr>
          </w:p>
        </w:tc>
        <w:tc>
          <w:tcPr>
            <w:tcW w:w="2262" w:type="dxa"/>
          </w:tcPr>
          <w:p w14:paraId="65B98975" w14:textId="77777777" w:rsidR="00392ED6" w:rsidRPr="0079560A" w:rsidRDefault="00392ED6" w:rsidP="00446CDA">
            <w:pPr>
              <w:pStyle w:val="TableParagraph"/>
              <w:rPr>
                <w:sz w:val="20"/>
                <w:lang w:val="en-US"/>
              </w:rPr>
            </w:pPr>
          </w:p>
        </w:tc>
        <w:tc>
          <w:tcPr>
            <w:tcW w:w="2257" w:type="dxa"/>
          </w:tcPr>
          <w:p w14:paraId="19DB4338" w14:textId="77777777" w:rsidR="00392ED6" w:rsidRPr="0079560A" w:rsidRDefault="00392ED6" w:rsidP="00446CDA">
            <w:pPr>
              <w:pStyle w:val="TableParagraph"/>
              <w:rPr>
                <w:sz w:val="20"/>
                <w:lang w:val="en-US"/>
              </w:rPr>
            </w:pPr>
          </w:p>
        </w:tc>
      </w:tr>
    </w:tbl>
    <w:p w14:paraId="3FEC484B" w14:textId="77777777" w:rsidR="00392ED6" w:rsidRPr="0079560A" w:rsidRDefault="00392ED6" w:rsidP="00392ED6">
      <w:pPr>
        <w:pStyle w:val="GvdeMetni"/>
        <w:spacing w:before="1"/>
        <w:rPr>
          <w:b/>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262"/>
        <w:gridCol w:w="2257"/>
      </w:tblGrid>
      <w:tr w:rsidR="00392ED6" w:rsidRPr="0079560A" w14:paraId="70D5D704" w14:textId="77777777" w:rsidTr="00446CDA">
        <w:trPr>
          <w:trHeight w:val="278"/>
        </w:trPr>
        <w:tc>
          <w:tcPr>
            <w:tcW w:w="2168" w:type="dxa"/>
          </w:tcPr>
          <w:p w14:paraId="669E4BBF" w14:textId="77777777" w:rsidR="00392ED6" w:rsidRPr="0079560A" w:rsidRDefault="00392ED6" w:rsidP="00446CDA">
            <w:pPr>
              <w:pStyle w:val="TableParagraph"/>
              <w:spacing w:line="258" w:lineRule="exact"/>
              <w:ind w:left="107"/>
              <w:rPr>
                <w:sz w:val="24"/>
                <w:lang w:val="en-US"/>
              </w:rPr>
            </w:pPr>
            <w:r w:rsidRPr="0079560A">
              <w:rPr>
                <w:sz w:val="24"/>
                <w:lang w:val="en-US"/>
              </w:rPr>
              <w:t>2.</w:t>
            </w:r>
          </w:p>
        </w:tc>
        <w:tc>
          <w:tcPr>
            <w:tcW w:w="2271" w:type="dxa"/>
          </w:tcPr>
          <w:p w14:paraId="61CCCACE" w14:textId="77777777" w:rsidR="00392ED6" w:rsidRPr="0079560A" w:rsidRDefault="00392ED6" w:rsidP="00446CDA">
            <w:pPr>
              <w:pStyle w:val="TableParagraph"/>
              <w:spacing w:line="258" w:lineRule="exact"/>
              <w:ind w:left="681"/>
              <w:rPr>
                <w:sz w:val="24"/>
                <w:lang w:val="en-US"/>
              </w:rPr>
            </w:pPr>
            <w:r w:rsidRPr="0079560A">
              <w:rPr>
                <w:sz w:val="24"/>
                <w:lang w:val="en-US"/>
              </w:rPr>
              <w:t>Excellent</w:t>
            </w:r>
          </w:p>
        </w:tc>
        <w:tc>
          <w:tcPr>
            <w:tcW w:w="2262" w:type="dxa"/>
          </w:tcPr>
          <w:p w14:paraId="088D3AAC" w14:textId="77777777" w:rsidR="00392ED6" w:rsidRPr="0079560A" w:rsidRDefault="00392ED6" w:rsidP="00446CDA">
            <w:pPr>
              <w:pStyle w:val="TableParagraph"/>
              <w:spacing w:line="258" w:lineRule="exact"/>
              <w:ind w:left="840" w:right="837"/>
              <w:jc w:val="center"/>
              <w:rPr>
                <w:sz w:val="24"/>
                <w:lang w:val="en-US"/>
              </w:rPr>
            </w:pPr>
            <w:r w:rsidRPr="0079560A">
              <w:rPr>
                <w:sz w:val="24"/>
                <w:lang w:val="en-US"/>
              </w:rPr>
              <w:t>Good</w:t>
            </w:r>
          </w:p>
        </w:tc>
        <w:tc>
          <w:tcPr>
            <w:tcW w:w="2257" w:type="dxa"/>
          </w:tcPr>
          <w:p w14:paraId="2D10994D" w14:textId="77777777" w:rsidR="00392ED6" w:rsidRPr="0079560A" w:rsidRDefault="00392ED6" w:rsidP="00446CDA">
            <w:pPr>
              <w:pStyle w:val="TableParagraph"/>
              <w:spacing w:line="258" w:lineRule="exact"/>
              <w:ind w:left="876" w:right="876"/>
              <w:jc w:val="center"/>
              <w:rPr>
                <w:sz w:val="24"/>
                <w:lang w:val="en-US"/>
              </w:rPr>
            </w:pPr>
            <w:r w:rsidRPr="0079560A">
              <w:rPr>
                <w:sz w:val="24"/>
                <w:lang w:val="en-US"/>
              </w:rPr>
              <w:t>Poor</w:t>
            </w:r>
          </w:p>
        </w:tc>
      </w:tr>
      <w:tr w:rsidR="00392ED6" w:rsidRPr="0079560A" w14:paraId="5AB07EF7" w14:textId="77777777" w:rsidTr="00446CDA">
        <w:trPr>
          <w:trHeight w:val="275"/>
        </w:trPr>
        <w:tc>
          <w:tcPr>
            <w:tcW w:w="2168" w:type="dxa"/>
          </w:tcPr>
          <w:p w14:paraId="56A6AF8F" w14:textId="77777777" w:rsidR="00392ED6" w:rsidRPr="0079560A" w:rsidRDefault="00392ED6" w:rsidP="00446CDA">
            <w:pPr>
              <w:pStyle w:val="TableParagraph"/>
              <w:spacing w:line="256" w:lineRule="exact"/>
              <w:ind w:left="107"/>
              <w:rPr>
                <w:sz w:val="24"/>
                <w:lang w:val="en-US"/>
              </w:rPr>
            </w:pPr>
            <w:r w:rsidRPr="0079560A">
              <w:rPr>
                <w:sz w:val="24"/>
                <w:lang w:val="en-US"/>
              </w:rPr>
              <w:t>Reading</w:t>
            </w:r>
          </w:p>
        </w:tc>
        <w:tc>
          <w:tcPr>
            <w:tcW w:w="2271" w:type="dxa"/>
          </w:tcPr>
          <w:p w14:paraId="53A9EB92" w14:textId="77777777" w:rsidR="00392ED6" w:rsidRPr="0079560A" w:rsidRDefault="00392ED6" w:rsidP="00446CDA">
            <w:pPr>
              <w:pStyle w:val="TableParagraph"/>
              <w:rPr>
                <w:sz w:val="20"/>
                <w:lang w:val="en-US"/>
              </w:rPr>
            </w:pPr>
          </w:p>
        </w:tc>
        <w:tc>
          <w:tcPr>
            <w:tcW w:w="2262" w:type="dxa"/>
          </w:tcPr>
          <w:p w14:paraId="38BF2C16" w14:textId="77777777" w:rsidR="00392ED6" w:rsidRPr="0079560A" w:rsidRDefault="00392ED6" w:rsidP="00446CDA">
            <w:pPr>
              <w:pStyle w:val="TableParagraph"/>
              <w:rPr>
                <w:sz w:val="20"/>
                <w:lang w:val="en-US"/>
              </w:rPr>
            </w:pPr>
          </w:p>
        </w:tc>
        <w:tc>
          <w:tcPr>
            <w:tcW w:w="2257" w:type="dxa"/>
          </w:tcPr>
          <w:p w14:paraId="190B1EFD" w14:textId="77777777" w:rsidR="00392ED6" w:rsidRPr="0079560A" w:rsidRDefault="00392ED6" w:rsidP="00446CDA">
            <w:pPr>
              <w:pStyle w:val="TableParagraph"/>
              <w:rPr>
                <w:sz w:val="20"/>
                <w:lang w:val="en-US"/>
              </w:rPr>
            </w:pPr>
          </w:p>
        </w:tc>
      </w:tr>
      <w:tr w:rsidR="00392ED6" w:rsidRPr="0079560A" w14:paraId="33FAE02E" w14:textId="77777777" w:rsidTr="00446CDA">
        <w:trPr>
          <w:trHeight w:val="275"/>
        </w:trPr>
        <w:tc>
          <w:tcPr>
            <w:tcW w:w="2168" w:type="dxa"/>
          </w:tcPr>
          <w:p w14:paraId="4003A644" w14:textId="77777777" w:rsidR="00392ED6" w:rsidRPr="0079560A" w:rsidRDefault="00392ED6" w:rsidP="00446CDA">
            <w:pPr>
              <w:pStyle w:val="TableParagraph"/>
              <w:spacing w:line="256" w:lineRule="exact"/>
              <w:ind w:left="107"/>
              <w:rPr>
                <w:sz w:val="24"/>
                <w:lang w:val="en-US"/>
              </w:rPr>
            </w:pPr>
            <w:r w:rsidRPr="0079560A">
              <w:rPr>
                <w:sz w:val="24"/>
                <w:lang w:val="en-US"/>
              </w:rPr>
              <w:t>Writing</w:t>
            </w:r>
          </w:p>
        </w:tc>
        <w:tc>
          <w:tcPr>
            <w:tcW w:w="2271" w:type="dxa"/>
          </w:tcPr>
          <w:p w14:paraId="670E650E" w14:textId="77777777" w:rsidR="00392ED6" w:rsidRPr="0079560A" w:rsidRDefault="00392ED6" w:rsidP="00446CDA">
            <w:pPr>
              <w:pStyle w:val="TableParagraph"/>
              <w:rPr>
                <w:sz w:val="20"/>
                <w:lang w:val="en-US"/>
              </w:rPr>
            </w:pPr>
          </w:p>
        </w:tc>
        <w:tc>
          <w:tcPr>
            <w:tcW w:w="2262" w:type="dxa"/>
          </w:tcPr>
          <w:p w14:paraId="2E47A892" w14:textId="77777777" w:rsidR="00392ED6" w:rsidRPr="0079560A" w:rsidRDefault="00392ED6" w:rsidP="00446CDA">
            <w:pPr>
              <w:pStyle w:val="TableParagraph"/>
              <w:rPr>
                <w:sz w:val="20"/>
                <w:lang w:val="en-US"/>
              </w:rPr>
            </w:pPr>
          </w:p>
        </w:tc>
        <w:tc>
          <w:tcPr>
            <w:tcW w:w="2257" w:type="dxa"/>
          </w:tcPr>
          <w:p w14:paraId="0E1AC4C1" w14:textId="77777777" w:rsidR="00392ED6" w:rsidRPr="0079560A" w:rsidRDefault="00392ED6" w:rsidP="00446CDA">
            <w:pPr>
              <w:pStyle w:val="TableParagraph"/>
              <w:rPr>
                <w:sz w:val="20"/>
                <w:lang w:val="en-US"/>
              </w:rPr>
            </w:pPr>
          </w:p>
        </w:tc>
      </w:tr>
      <w:tr w:rsidR="00392ED6" w:rsidRPr="0079560A" w14:paraId="5AB2BB15" w14:textId="77777777" w:rsidTr="00446CDA">
        <w:trPr>
          <w:trHeight w:val="275"/>
        </w:trPr>
        <w:tc>
          <w:tcPr>
            <w:tcW w:w="2168" w:type="dxa"/>
          </w:tcPr>
          <w:p w14:paraId="3A7703CD" w14:textId="77777777" w:rsidR="00392ED6" w:rsidRPr="0079560A" w:rsidRDefault="00392ED6" w:rsidP="00446CDA">
            <w:pPr>
              <w:pStyle w:val="TableParagraph"/>
              <w:spacing w:line="256" w:lineRule="exact"/>
              <w:ind w:left="107"/>
              <w:rPr>
                <w:sz w:val="24"/>
                <w:lang w:val="en-US"/>
              </w:rPr>
            </w:pPr>
            <w:r w:rsidRPr="0079560A">
              <w:rPr>
                <w:sz w:val="24"/>
                <w:lang w:val="en-US"/>
              </w:rPr>
              <w:t>Speaking</w:t>
            </w:r>
          </w:p>
        </w:tc>
        <w:tc>
          <w:tcPr>
            <w:tcW w:w="2271" w:type="dxa"/>
          </w:tcPr>
          <w:p w14:paraId="02D9A711" w14:textId="77777777" w:rsidR="00392ED6" w:rsidRPr="0079560A" w:rsidRDefault="00392ED6" w:rsidP="00446CDA">
            <w:pPr>
              <w:pStyle w:val="TableParagraph"/>
              <w:rPr>
                <w:sz w:val="20"/>
                <w:lang w:val="en-US"/>
              </w:rPr>
            </w:pPr>
          </w:p>
        </w:tc>
        <w:tc>
          <w:tcPr>
            <w:tcW w:w="2262" w:type="dxa"/>
          </w:tcPr>
          <w:p w14:paraId="72EAF79D" w14:textId="77777777" w:rsidR="00392ED6" w:rsidRPr="0079560A" w:rsidRDefault="00392ED6" w:rsidP="00446CDA">
            <w:pPr>
              <w:pStyle w:val="TableParagraph"/>
              <w:rPr>
                <w:sz w:val="20"/>
                <w:lang w:val="en-US"/>
              </w:rPr>
            </w:pPr>
          </w:p>
        </w:tc>
        <w:tc>
          <w:tcPr>
            <w:tcW w:w="2257" w:type="dxa"/>
          </w:tcPr>
          <w:p w14:paraId="3B2A23F8" w14:textId="77777777" w:rsidR="00392ED6" w:rsidRPr="0079560A" w:rsidRDefault="00392ED6" w:rsidP="00446CDA">
            <w:pPr>
              <w:pStyle w:val="TableParagraph"/>
              <w:rPr>
                <w:sz w:val="20"/>
                <w:lang w:val="en-US"/>
              </w:rPr>
            </w:pPr>
          </w:p>
        </w:tc>
      </w:tr>
    </w:tbl>
    <w:p w14:paraId="15BFF43E" w14:textId="77777777" w:rsidR="00392ED6" w:rsidRPr="0079560A" w:rsidRDefault="00392ED6" w:rsidP="00392ED6">
      <w:pPr>
        <w:rPr>
          <w:lang w:val="en-US"/>
        </w:rPr>
        <w:sectPr w:rsidR="00392ED6" w:rsidRPr="0079560A">
          <w:pgSz w:w="12240" w:h="15840"/>
          <w:pgMar w:top="1360" w:right="1260" w:bottom="280" w:left="1600" w:header="720" w:footer="720" w:gutter="0"/>
          <w:cols w:space="720"/>
        </w:sectPr>
      </w:pPr>
    </w:p>
    <w:p w14:paraId="00099950" w14:textId="77777777" w:rsidR="00392ED6" w:rsidRPr="0079560A" w:rsidRDefault="00392ED6" w:rsidP="00392ED6">
      <w:pPr>
        <w:pStyle w:val="GvdeMetni"/>
        <w:spacing w:before="9"/>
        <w:rPr>
          <w:b/>
          <w:sz w:val="18"/>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262"/>
        <w:gridCol w:w="2257"/>
      </w:tblGrid>
      <w:tr w:rsidR="00392ED6" w:rsidRPr="0079560A" w14:paraId="4888C877" w14:textId="77777777" w:rsidTr="00446CDA">
        <w:trPr>
          <w:trHeight w:val="276"/>
        </w:trPr>
        <w:tc>
          <w:tcPr>
            <w:tcW w:w="2168" w:type="dxa"/>
          </w:tcPr>
          <w:p w14:paraId="0B4B3AAD" w14:textId="77777777" w:rsidR="00392ED6" w:rsidRPr="0079560A" w:rsidRDefault="00392ED6" w:rsidP="00446CDA">
            <w:pPr>
              <w:pStyle w:val="TableParagraph"/>
              <w:spacing w:line="256" w:lineRule="exact"/>
              <w:ind w:left="107"/>
              <w:rPr>
                <w:sz w:val="24"/>
                <w:lang w:val="en-US"/>
              </w:rPr>
            </w:pPr>
            <w:r w:rsidRPr="0079560A">
              <w:rPr>
                <w:sz w:val="24"/>
                <w:lang w:val="en-US"/>
              </w:rPr>
              <w:t>3.</w:t>
            </w:r>
          </w:p>
        </w:tc>
        <w:tc>
          <w:tcPr>
            <w:tcW w:w="2271" w:type="dxa"/>
          </w:tcPr>
          <w:p w14:paraId="6016C38F" w14:textId="77777777" w:rsidR="00392ED6" w:rsidRPr="0079560A" w:rsidRDefault="00392ED6" w:rsidP="00446CDA">
            <w:pPr>
              <w:pStyle w:val="TableParagraph"/>
              <w:spacing w:line="256" w:lineRule="exact"/>
              <w:ind w:left="681"/>
              <w:rPr>
                <w:sz w:val="24"/>
                <w:lang w:val="en-US"/>
              </w:rPr>
            </w:pPr>
            <w:r w:rsidRPr="0079560A">
              <w:rPr>
                <w:sz w:val="24"/>
                <w:lang w:val="en-US"/>
              </w:rPr>
              <w:t>Excellent</w:t>
            </w:r>
          </w:p>
        </w:tc>
        <w:tc>
          <w:tcPr>
            <w:tcW w:w="2262" w:type="dxa"/>
          </w:tcPr>
          <w:p w14:paraId="64591BBC" w14:textId="77777777" w:rsidR="00392ED6" w:rsidRPr="0079560A" w:rsidRDefault="00392ED6" w:rsidP="00446CDA">
            <w:pPr>
              <w:pStyle w:val="TableParagraph"/>
              <w:spacing w:line="256" w:lineRule="exact"/>
              <w:ind w:left="840" w:right="837"/>
              <w:jc w:val="center"/>
              <w:rPr>
                <w:sz w:val="24"/>
                <w:lang w:val="en-US"/>
              </w:rPr>
            </w:pPr>
            <w:r w:rsidRPr="0079560A">
              <w:rPr>
                <w:sz w:val="24"/>
                <w:lang w:val="en-US"/>
              </w:rPr>
              <w:t>Good</w:t>
            </w:r>
          </w:p>
        </w:tc>
        <w:tc>
          <w:tcPr>
            <w:tcW w:w="2257" w:type="dxa"/>
          </w:tcPr>
          <w:p w14:paraId="4989DA4E" w14:textId="77777777" w:rsidR="00392ED6" w:rsidRPr="0079560A" w:rsidRDefault="00392ED6" w:rsidP="00446CDA">
            <w:pPr>
              <w:pStyle w:val="TableParagraph"/>
              <w:spacing w:line="256" w:lineRule="exact"/>
              <w:ind w:left="876" w:right="876"/>
              <w:jc w:val="center"/>
              <w:rPr>
                <w:sz w:val="24"/>
                <w:lang w:val="en-US"/>
              </w:rPr>
            </w:pPr>
            <w:r w:rsidRPr="0079560A">
              <w:rPr>
                <w:sz w:val="24"/>
                <w:lang w:val="en-US"/>
              </w:rPr>
              <w:t>Poor</w:t>
            </w:r>
          </w:p>
        </w:tc>
      </w:tr>
      <w:tr w:rsidR="00392ED6" w:rsidRPr="0079560A" w14:paraId="233C1353" w14:textId="77777777" w:rsidTr="00446CDA">
        <w:trPr>
          <w:trHeight w:val="275"/>
        </w:trPr>
        <w:tc>
          <w:tcPr>
            <w:tcW w:w="2168" w:type="dxa"/>
          </w:tcPr>
          <w:p w14:paraId="427F46CF" w14:textId="77777777" w:rsidR="00392ED6" w:rsidRPr="0079560A" w:rsidRDefault="00392ED6" w:rsidP="00446CDA">
            <w:pPr>
              <w:pStyle w:val="TableParagraph"/>
              <w:spacing w:line="256" w:lineRule="exact"/>
              <w:ind w:left="107"/>
              <w:rPr>
                <w:sz w:val="24"/>
                <w:lang w:val="en-US"/>
              </w:rPr>
            </w:pPr>
            <w:r w:rsidRPr="0079560A">
              <w:rPr>
                <w:sz w:val="24"/>
                <w:lang w:val="en-US"/>
              </w:rPr>
              <w:t>Reading</w:t>
            </w:r>
          </w:p>
        </w:tc>
        <w:tc>
          <w:tcPr>
            <w:tcW w:w="2271" w:type="dxa"/>
          </w:tcPr>
          <w:p w14:paraId="27CC5B47" w14:textId="77777777" w:rsidR="00392ED6" w:rsidRPr="0079560A" w:rsidRDefault="00392ED6" w:rsidP="00446CDA">
            <w:pPr>
              <w:pStyle w:val="TableParagraph"/>
              <w:rPr>
                <w:sz w:val="20"/>
                <w:lang w:val="en-US"/>
              </w:rPr>
            </w:pPr>
          </w:p>
        </w:tc>
        <w:tc>
          <w:tcPr>
            <w:tcW w:w="2262" w:type="dxa"/>
          </w:tcPr>
          <w:p w14:paraId="65D671BB" w14:textId="77777777" w:rsidR="00392ED6" w:rsidRPr="0079560A" w:rsidRDefault="00392ED6" w:rsidP="00446CDA">
            <w:pPr>
              <w:pStyle w:val="TableParagraph"/>
              <w:rPr>
                <w:sz w:val="20"/>
                <w:lang w:val="en-US"/>
              </w:rPr>
            </w:pPr>
          </w:p>
        </w:tc>
        <w:tc>
          <w:tcPr>
            <w:tcW w:w="2257" w:type="dxa"/>
          </w:tcPr>
          <w:p w14:paraId="6ED602F3" w14:textId="77777777" w:rsidR="00392ED6" w:rsidRPr="0079560A" w:rsidRDefault="00392ED6" w:rsidP="00446CDA">
            <w:pPr>
              <w:pStyle w:val="TableParagraph"/>
              <w:rPr>
                <w:sz w:val="20"/>
                <w:lang w:val="en-US"/>
              </w:rPr>
            </w:pPr>
          </w:p>
        </w:tc>
      </w:tr>
      <w:tr w:rsidR="00392ED6" w:rsidRPr="0079560A" w14:paraId="7735E409" w14:textId="77777777" w:rsidTr="00446CDA">
        <w:trPr>
          <w:trHeight w:val="275"/>
        </w:trPr>
        <w:tc>
          <w:tcPr>
            <w:tcW w:w="2168" w:type="dxa"/>
          </w:tcPr>
          <w:p w14:paraId="52BE121F" w14:textId="77777777" w:rsidR="00392ED6" w:rsidRPr="0079560A" w:rsidRDefault="00392ED6" w:rsidP="00446CDA">
            <w:pPr>
              <w:pStyle w:val="TableParagraph"/>
              <w:spacing w:line="256" w:lineRule="exact"/>
              <w:ind w:left="107"/>
              <w:rPr>
                <w:sz w:val="24"/>
                <w:lang w:val="en-US"/>
              </w:rPr>
            </w:pPr>
            <w:r w:rsidRPr="0079560A">
              <w:rPr>
                <w:sz w:val="24"/>
                <w:lang w:val="en-US"/>
              </w:rPr>
              <w:t>Writing</w:t>
            </w:r>
          </w:p>
        </w:tc>
        <w:tc>
          <w:tcPr>
            <w:tcW w:w="2271" w:type="dxa"/>
          </w:tcPr>
          <w:p w14:paraId="60CA073A" w14:textId="77777777" w:rsidR="00392ED6" w:rsidRPr="0079560A" w:rsidRDefault="00392ED6" w:rsidP="00446CDA">
            <w:pPr>
              <w:pStyle w:val="TableParagraph"/>
              <w:rPr>
                <w:sz w:val="20"/>
                <w:lang w:val="en-US"/>
              </w:rPr>
            </w:pPr>
          </w:p>
        </w:tc>
        <w:tc>
          <w:tcPr>
            <w:tcW w:w="2262" w:type="dxa"/>
          </w:tcPr>
          <w:p w14:paraId="41841F5A" w14:textId="77777777" w:rsidR="00392ED6" w:rsidRPr="0079560A" w:rsidRDefault="00392ED6" w:rsidP="00446CDA">
            <w:pPr>
              <w:pStyle w:val="TableParagraph"/>
              <w:rPr>
                <w:sz w:val="20"/>
                <w:lang w:val="en-US"/>
              </w:rPr>
            </w:pPr>
          </w:p>
        </w:tc>
        <w:tc>
          <w:tcPr>
            <w:tcW w:w="2257" w:type="dxa"/>
          </w:tcPr>
          <w:p w14:paraId="04B38D06" w14:textId="77777777" w:rsidR="00392ED6" w:rsidRPr="0079560A" w:rsidRDefault="00392ED6" w:rsidP="00446CDA">
            <w:pPr>
              <w:pStyle w:val="TableParagraph"/>
              <w:rPr>
                <w:sz w:val="20"/>
                <w:lang w:val="en-US"/>
              </w:rPr>
            </w:pPr>
          </w:p>
        </w:tc>
      </w:tr>
      <w:tr w:rsidR="00392ED6" w:rsidRPr="0079560A" w14:paraId="3A589D3D" w14:textId="77777777" w:rsidTr="00446CDA">
        <w:trPr>
          <w:trHeight w:val="277"/>
        </w:trPr>
        <w:tc>
          <w:tcPr>
            <w:tcW w:w="2168" w:type="dxa"/>
          </w:tcPr>
          <w:p w14:paraId="697A2AB3" w14:textId="77777777" w:rsidR="00392ED6" w:rsidRPr="0079560A" w:rsidRDefault="00392ED6" w:rsidP="00446CDA">
            <w:pPr>
              <w:pStyle w:val="TableParagraph"/>
              <w:spacing w:line="258" w:lineRule="exact"/>
              <w:ind w:left="107"/>
              <w:rPr>
                <w:sz w:val="24"/>
                <w:lang w:val="en-US"/>
              </w:rPr>
            </w:pPr>
            <w:r w:rsidRPr="0079560A">
              <w:rPr>
                <w:sz w:val="24"/>
                <w:lang w:val="en-US"/>
              </w:rPr>
              <w:t>Speaking</w:t>
            </w:r>
          </w:p>
        </w:tc>
        <w:tc>
          <w:tcPr>
            <w:tcW w:w="2271" w:type="dxa"/>
          </w:tcPr>
          <w:p w14:paraId="0EC4F191" w14:textId="77777777" w:rsidR="00392ED6" w:rsidRPr="0079560A" w:rsidRDefault="00392ED6" w:rsidP="00446CDA">
            <w:pPr>
              <w:pStyle w:val="TableParagraph"/>
              <w:rPr>
                <w:sz w:val="20"/>
                <w:lang w:val="en-US"/>
              </w:rPr>
            </w:pPr>
          </w:p>
        </w:tc>
        <w:tc>
          <w:tcPr>
            <w:tcW w:w="2262" w:type="dxa"/>
          </w:tcPr>
          <w:p w14:paraId="347407AA" w14:textId="77777777" w:rsidR="00392ED6" w:rsidRPr="0079560A" w:rsidRDefault="00392ED6" w:rsidP="00446CDA">
            <w:pPr>
              <w:pStyle w:val="TableParagraph"/>
              <w:rPr>
                <w:sz w:val="20"/>
                <w:lang w:val="en-US"/>
              </w:rPr>
            </w:pPr>
          </w:p>
        </w:tc>
        <w:tc>
          <w:tcPr>
            <w:tcW w:w="2257" w:type="dxa"/>
          </w:tcPr>
          <w:p w14:paraId="6256E33E" w14:textId="77777777" w:rsidR="00392ED6" w:rsidRPr="0079560A" w:rsidRDefault="00392ED6" w:rsidP="00446CDA">
            <w:pPr>
              <w:pStyle w:val="TableParagraph"/>
              <w:rPr>
                <w:sz w:val="20"/>
                <w:lang w:val="en-US"/>
              </w:rPr>
            </w:pPr>
          </w:p>
        </w:tc>
      </w:tr>
    </w:tbl>
    <w:p w14:paraId="7494ED39" w14:textId="77777777" w:rsidR="00392ED6" w:rsidRPr="0079560A" w:rsidRDefault="00392ED6" w:rsidP="00392ED6">
      <w:pPr>
        <w:pStyle w:val="GvdeMetni"/>
        <w:spacing w:before="3"/>
        <w:rPr>
          <w:b/>
          <w:sz w:val="16"/>
          <w:lang w:val="en-US"/>
        </w:rPr>
      </w:pPr>
    </w:p>
    <w:p w14:paraId="105D892A" w14:textId="77777777" w:rsidR="00392ED6" w:rsidRPr="0079560A" w:rsidRDefault="00392ED6" w:rsidP="00392ED6">
      <w:pPr>
        <w:spacing w:before="90" w:line="274" w:lineRule="exact"/>
        <w:ind w:left="200"/>
        <w:rPr>
          <w:b/>
          <w:sz w:val="24"/>
          <w:lang w:val="en-US"/>
        </w:rPr>
      </w:pPr>
      <w:r w:rsidRPr="0079560A">
        <w:rPr>
          <w:b/>
          <w:spacing w:val="-1"/>
          <w:sz w:val="24"/>
          <w:lang w:val="en-US"/>
        </w:rPr>
        <w:t>Computing</w:t>
      </w:r>
      <w:r w:rsidRPr="0079560A">
        <w:rPr>
          <w:b/>
          <w:spacing w:val="1"/>
          <w:sz w:val="24"/>
          <w:lang w:val="en-US"/>
        </w:rPr>
        <w:t xml:space="preserve"> </w:t>
      </w:r>
      <w:r w:rsidRPr="0079560A">
        <w:rPr>
          <w:b/>
          <w:sz w:val="24"/>
          <w:lang w:val="en-US"/>
        </w:rPr>
        <w:t>Knowledge</w:t>
      </w:r>
      <w:r w:rsidRPr="0079560A">
        <w:rPr>
          <w:b/>
          <w:spacing w:val="-17"/>
          <w:sz w:val="24"/>
          <w:lang w:val="en-US"/>
        </w:rPr>
        <w:t xml:space="preserve"> </w:t>
      </w:r>
      <w:r w:rsidRPr="0079560A">
        <w:rPr>
          <w:b/>
          <w:sz w:val="24"/>
          <w:lang w:val="en-US"/>
        </w:rPr>
        <w:t>:</w:t>
      </w:r>
    </w:p>
    <w:p w14:paraId="6F63C1A2" w14:textId="77777777" w:rsidR="00392ED6" w:rsidRPr="0079560A" w:rsidRDefault="00392ED6" w:rsidP="00392ED6">
      <w:pPr>
        <w:pStyle w:val="GvdeMetni"/>
        <w:spacing w:line="273" w:lineRule="exact"/>
        <w:ind w:left="200"/>
        <w:rPr>
          <w:lang w:val="en-US"/>
        </w:rPr>
      </w:pPr>
      <w:r w:rsidRPr="0079560A">
        <w:rPr>
          <w:lang w:val="en-US"/>
        </w:rPr>
        <w:t>Experience</w:t>
      </w:r>
      <w:r w:rsidRPr="0079560A">
        <w:rPr>
          <w:spacing w:val="-3"/>
          <w:lang w:val="en-US"/>
        </w:rPr>
        <w:t xml:space="preserve"> </w:t>
      </w:r>
      <w:r w:rsidRPr="0079560A">
        <w:rPr>
          <w:lang w:val="en-US"/>
        </w:rPr>
        <w:t>in:</w:t>
      </w:r>
    </w:p>
    <w:p w14:paraId="61085897"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183B72B2"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3BABE856" w14:textId="77777777" w:rsidR="00392ED6" w:rsidRPr="0079560A" w:rsidRDefault="00392ED6" w:rsidP="00392ED6">
      <w:pPr>
        <w:spacing w:line="293" w:lineRule="exact"/>
        <w:ind w:left="560"/>
        <w:rPr>
          <w:rFonts w:ascii="Symbol" w:hAnsi="Symbol"/>
          <w:sz w:val="24"/>
          <w:lang w:val="en-US"/>
        </w:rPr>
      </w:pPr>
      <w:r w:rsidRPr="0079560A">
        <w:rPr>
          <w:rFonts w:ascii="Symbol" w:hAnsi="Symbol"/>
          <w:sz w:val="24"/>
          <w:lang w:val="en-US"/>
        </w:rPr>
        <w:t></w:t>
      </w:r>
    </w:p>
    <w:p w14:paraId="4CFD04A2" w14:textId="77777777" w:rsidR="00392ED6" w:rsidRPr="0079560A" w:rsidRDefault="00392ED6" w:rsidP="00392ED6">
      <w:pPr>
        <w:pStyle w:val="GvdeMetni"/>
        <w:spacing w:before="10"/>
        <w:rPr>
          <w:rFonts w:ascii="Symbol" w:hAnsi="Symbol"/>
          <w:sz w:val="22"/>
          <w:lang w:val="en-US"/>
        </w:rPr>
      </w:pPr>
    </w:p>
    <w:p w14:paraId="21A78914" w14:textId="77777777" w:rsidR="00392ED6" w:rsidRPr="0079560A" w:rsidRDefault="00392ED6" w:rsidP="00392ED6">
      <w:pPr>
        <w:tabs>
          <w:tab w:val="left" w:pos="4520"/>
        </w:tabs>
        <w:ind w:left="200"/>
        <w:rPr>
          <w:b/>
          <w:sz w:val="24"/>
          <w:lang w:val="en-US"/>
        </w:rPr>
      </w:pPr>
      <w:r w:rsidRPr="0079560A">
        <w:rPr>
          <w:b/>
          <w:sz w:val="24"/>
          <w:lang w:val="en-US"/>
        </w:rPr>
        <w:t>Membership</w:t>
      </w:r>
      <w:r w:rsidRPr="0079560A">
        <w:rPr>
          <w:b/>
          <w:spacing w:val="-1"/>
          <w:sz w:val="24"/>
          <w:lang w:val="en-US"/>
        </w:rPr>
        <w:t xml:space="preserve"> </w:t>
      </w:r>
      <w:r w:rsidRPr="0079560A">
        <w:rPr>
          <w:b/>
          <w:sz w:val="24"/>
          <w:lang w:val="en-US"/>
        </w:rPr>
        <w:t>of</w:t>
      </w:r>
      <w:r w:rsidRPr="0079560A">
        <w:rPr>
          <w:b/>
          <w:spacing w:val="-1"/>
          <w:sz w:val="24"/>
          <w:lang w:val="en-US"/>
        </w:rPr>
        <w:t xml:space="preserve"> </w:t>
      </w:r>
      <w:r w:rsidRPr="0079560A">
        <w:rPr>
          <w:b/>
          <w:sz w:val="24"/>
          <w:lang w:val="en-US"/>
        </w:rPr>
        <w:t>Professional</w:t>
      </w:r>
      <w:r w:rsidRPr="0079560A">
        <w:rPr>
          <w:b/>
          <w:spacing w:val="-2"/>
          <w:sz w:val="24"/>
          <w:lang w:val="en-US"/>
        </w:rPr>
        <w:t xml:space="preserve"> </w:t>
      </w:r>
      <w:r w:rsidRPr="0079560A">
        <w:rPr>
          <w:b/>
          <w:sz w:val="24"/>
          <w:lang w:val="en-US"/>
        </w:rPr>
        <w:t>Societies</w:t>
      </w:r>
      <w:r w:rsidRPr="0079560A">
        <w:rPr>
          <w:b/>
          <w:sz w:val="24"/>
          <w:lang w:val="en-US"/>
        </w:rPr>
        <w:tab/>
        <w:t>:</w:t>
      </w:r>
    </w:p>
    <w:p w14:paraId="33429005" w14:textId="77777777" w:rsidR="00392ED6" w:rsidRPr="0079560A" w:rsidRDefault="00392ED6" w:rsidP="00392ED6">
      <w:pPr>
        <w:tabs>
          <w:tab w:val="left" w:pos="3604"/>
        </w:tabs>
        <w:spacing w:before="3" w:line="550" w:lineRule="atLeast"/>
        <w:ind w:left="200" w:right="2260"/>
        <w:rPr>
          <w:b/>
          <w:sz w:val="24"/>
          <w:lang w:val="en-US"/>
        </w:rPr>
      </w:pPr>
      <w:r w:rsidRPr="0079560A">
        <w:rPr>
          <w:b/>
          <w:sz w:val="24"/>
          <w:lang w:val="en-US"/>
        </w:rPr>
        <w:t>References</w:t>
      </w:r>
      <w:r w:rsidRPr="0079560A">
        <w:rPr>
          <w:b/>
          <w:spacing w:val="-2"/>
          <w:sz w:val="24"/>
          <w:lang w:val="en-US"/>
        </w:rPr>
        <w:t xml:space="preserve"> </w:t>
      </w:r>
      <w:r w:rsidRPr="0079560A">
        <w:rPr>
          <w:b/>
          <w:sz w:val="24"/>
          <w:lang w:val="en-US"/>
        </w:rPr>
        <w:t>and</w:t>
      </w:r>
      <w:r w:rsidRPr="0079560A">
        <w:rPr>
          <w:b/>
          <w:spacing w:val="-2"/>
          <w:sz w:val="24"/>
          <w:lang w:val="en-US"/>
        </w:rPr>
        <w:t xml:space="preserve"> </w:t>
      </w:r>
      <w:r w:rsidRPr="0079560A">
        <w:rPr>
          <w:b/>
          <w:sz w:val="24"/>
          <w:lang w:val="en-US"/>
        </w:rPr>
        <w:t>transcripts</w:t>
      </w:r>
      <w:r w:rsidRPr="0079560A">
        <w:rPr>
          <w:b/>
          <w:sz w:val="24"/>
          <w:lang w:val="en-US"/>
        </w:rPr>
        <w:tab/>
        <w:t>: AVAILABLE UPON REQUEST</w:t>
      </w:r>
      <w:r w:rsidRPr="0079560A">
        <w:rPr>
          <w:b/>
          <w:spacing w:val="-58"/>
          <w:sz w:val="24"/>
          <w:lang w:val="en-US"/>
        </w:rPr>
        <w:t xml:space="preserve"> </w:t>
      </w:r>
      <w:r w:rsidRPr="0079560A">
        <w:rPr>
          <w:b/>
          <w:sz w:val="24"/>
          <w:lang w:val="en-US"/>
        </w:rPr>
        <w:t>Certification</w:t>
      </w:r>
    </w:p>
    <w:p w14:paraId="1B9BDBCC" w14:textId="77777777" w:rsidR="00392ED6" w:rsidRPr="0079560A" w:rsidRDefault="00392ED6" w:rsidP="00392ED6">
      <w:pPr>
        <w:pStyle w:val="GvdeMetni"/>
        <w:ind w:left="200" w:right="1160" w:firstLine="851"/>
        <w:rPr>
          <w:lang w:val="en-US"/>
        </w:rPr>
      </w:pPr>
      <w:r w:rsidRPr="0079560A">
        <w:rPr>
          <w:lang w:val="en-US"/>
        </w:rPr>
        <w:t>I,</w:t>
      </w:r>
      <w:r w:rsidRPr="0079560A">
        <w:rPr>
          <w:spacing w:val="-1"/>
          <w:lang w:val="en-US"/>
        </w:rPr>
        <w:t xml:space="preserve"> </w:t>
      </w:r>
      <w:r w:rsidRPr="0079560A">
        <w:rPr>
          <w:lang w:val="en-US"/>
        </w:rPr>
        <w:t>the undersigned,</w:t>
      </w:r>
      <w:r w:rsidRPr="0079560A">
        <w:rPr>
          <w:spacing w:val="2"/>
          <w:lang w:val="en-US"/>
        </w:rPr>
        <w:t xml:space="preserve"> </w:t>
      </w:r>
      <w:r w:rsidRPr="0079560A">
        <w:rPr>
          <w:lang w:val="en-US"/>
        </w:rPr>
        <w:t>certify</w:t>
      </w:r>
      <w:r w:rsidRPr="0079560A">
        <w:rPr>
          <w:spacing w:val="-1"/>
          <w:lang w:val="en-US"/>
        </w:rPr>
        <w:t xml:space="preserve"> </w:t>
      </w:r>
      <w:r w:rsidRPr="0079560A">
        <w:rPr>
          <w:lang w:val="en-US"/>
        </w:rPr>
        <w:t>that</w:t>
      </w:r>
      <w:r w:rsidRPr="0079560A">
        <w:rPr>
          <w:spacing w:val="-1"/>
          <w:lang w:val="en-US"/>
        </w:rPr>
        <w:t xml:space="preserve"> </w:t>
      </w:r>
      <w:r w:rsidRPr="0079560A">
        <w:rPr>
          <w:lang w:val="en-US"/>
        </w:rPr>
        <w:t>to the</w:t>
      </w:r>
      <w:r w:rsidRPr="0079560A">
        <w:rPr>
          <w:spacing w:val="-1"/>
          <w:lang w:val="en-US"/>
        </w:rPr>
        <w:t xml:space="preserve"> </w:t>
      </w:r>
      <w:r w:rsidRPr="0079560A">
        <w:rPr>
          <w:lang w:val="en-US"/>
        </w:rPr>
        <w:t>best of</w:t>
      </w:r>
      <w:r w:rsidRPr="0079560A">
        <w:rPr>
          <w:spacing w:val="-1"/>
          <w:lang w:val="en-US"/>
        </w:rPr>
        <w:t xml:space="preserve"> </w:t>
      </w:r>
      <w:r w:rsidRPr="0079560A">
        <w:rPr>
          <w:lang w:val="en-US"/>
        </w:rPr>
        <w:t>my</w:t>
      </w:r>
      <w:r w:rsidRPr="0079560A">
        <w:rPr>
          <w:spacing w:val="-5"/>
          <w:lang w:val="en-US"/>
        </w:rPr>
        <w:t xml:space="preserve"> </w:t>
      </w:r>
      <w:r w:rsidRPr="0079560A">
        <w:rPr>
          <w:lang w:val="en-US"/>
        </w:rPr>
        <w:t>knowledge</w:t>
      </w:r>
      <w:r w:rsidRPr="0079560A">
        <w:rPr>
          <w:spacing w:val="-1"/>
          <w:lang w:val="en-US"/>
        </w:rPr>
        <w:t xml:space="preserve"> </w:t>
      </w:r>
      <w:r w:rsidRPr="0079560A">
        <w:rPr>
          <w:lang w:val="en-US"/>
        </w:rPr>
        <w:t>and belief,</w:t>
      </w:r>
      <w:r w:rsidRPr="0079560A">
        <w:rPr>
          <w:spacing w:val="-1"/>
          <w:lang w:val="en-US"/>
        </w:rPr>
        <w:t xml:space="preserve"> </w:t>
      </w:r>
      <w:r w:rsidRPr="0079560A">
        <w:rPr>
          <w:lang w:val="en-US"/>
        </w:rPr>
        <w:t>this</w:t>
      </w:r>
      <w:r w:rsidRPr="0079560A">
        <w:rPr>
          <w:spacing w:val="-57"/>
          <w:lang w:val="en-US"/>
        </w:rPr>
        <w:t xml:space="preserve"> </w:t>
      </w:r>
      <w:r w:rsidRPr="0079560A">
        <w:rPr>
          <w:lang w:val="en-US"/>
        </w:rPr>
        <w:t>biodata</w:t>
      </w:r>
      <w:r w:rsidRPr="0079560A">
        <w:rPr>
          <w:spacing w:val="-2"/>
          <w:lang w:val="en-US"/>
        </w:rPr>
        <w:t xml:space="preserve"> </w:t>
      </w:r>
      <w:r w:rsidRPr="0079560A">
        <w:rPr>
          <w:lang w:val="en-US"/>
        </w:rPr>
        <w:t>correctly</w:t>
      </w:r>
      <w:r w:rsidRPr="0079560A">
        <w:rPr>
          <w:spacing w:val="-5"/>
          <w:lang w:val="en-US"/>
        </w:rPr>
        <w:t xml:space="preserve"> </w:t>
      </w:r>
      <w:r w:rsidRPr="0079560A">
        <w:rPr>
          <w:lang w:val="en-US"/>
        </w:rPr>
        <w:t>describes myself, my</w:t>
      </w:r>
      <w:r w:rsidRPr="0079560A">
        <w:rPr>
          <w:spacing w:val="-5"/>
          <w:lang w:val="en-US"/>
        </w:rPr>
        <w:t xml:space="preserve"> </w:t>
      </w:r>
      <w:r w:rsidRPr="0079560A">
        <w:rPr>
          <w:lang w:val="en-US"/>
        </w:rPr>
        <w:t>qualifications and my</w:t>
      </w:r>
      <w:r w:rsidRPr="0079560A">
        <w:rPr>
          <w:spacing w:val="-3"/>
          <w:lang w:val="en-US"/>
        </w:rPr>
        <w:t xml:space="preserve"> </w:t>
      </w:r>
      <w:r w:rsidRPr="0079560A">
        <w:rPr>
          <w:lang w:val="en-US"/>
        </w:rPr>
        <w:t>experience.</w:t>
      </w:r>
    </w:p>
    <w:p w14:paraId="454BDBA1" w14:textId="77777777" w:rsidR="00392ED6" w:rsidRPr="0079560A" w:rsidRDefault="00392ED6" w:rsidP="00392ED6">
      <w:pPr>
        <w:pStyle w:val="GvdeMetni"/>
        <w:spacing w:before="8"/>
        <w:rPr>
          <w:sz w:val="23"/>
          <w:lang w:val="en-US"/>
        </w:rPr>
      </w:pPr>
    </w:p>
    <w:p w14:paraId="06CFA97C" w14:textId="0A358403" w:rsidR="00B072C7" w:rsidRDefault="00392ED6" w:rsidP="00392ED6">
      <w:pPr>
        <w:jc w:val="both"/>
      </w:pPr>
      <w:r w:rsidRPr="0079560A">
        <w:rPr>
          <w:lang w:val="en-US"/>
        </w:rPr>
        <w:t>Signature</w:t>
      </w:r>
      <w:r w:rsidRPr="0079560A">
        <w:rPr>
          <w:lang w:val="en-US"/>
        </w:rPr>
        <w:tab/>
      </w:r>
    </w:p>
    <w:sectPr w:rsidR="00B072C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AD53" w16cex:dateUtc="2022-01-20T06:43:00Z"/>
  <w16cex:commentExtensible w16cex:durableId="2593ACD7" w16cex:dateUtc="2022-01-20T06:41:00Z"/>
  <w16cex:commentExtensible w16cex:durableId="2593D2C1" w16cex:dateUtc="2022-01-2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D61F7F" w16cid:durableId="2593AD53"/>
  <w16cid:commentId w16cid:paraId="1323015C" w16cid:durableId="2593ACD7"/>
  <w16cid:commentId w16cid:paraId="4510477C" w16cid:durableId="2593D2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366A" w14:textId="77777777" w:rsidR="00BC428A" w:rsidRDefault="00BC428A" w:rsidP="00920FAD">
      <w:r>
        <w:separator/>
      </w:r>
    </w:p>
  </w:endnote>
  <w:endnote w:type="continuationSeparator" w:id="0">
    <w:p w14:paraId="6013A74E" w14:textId="77777777" w:rsidR="00BC428A" w:rsidRDefault="00BC428A" w:rsidP="0092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7E06" w14:textId="77777777" w:rsidR="00BC428A" w:rsidRDefault="00BC428A" w:rsidP="00920FAD">
      <w:r>
        <w:separator/>
      </w:r>
    </w:p>
  </w:footnote>
  <w:footnote w:type="continuationSeparator" w:id="0">
    <w:p w14:paraId="063B9DDE" w14:textId="77777777" w:rsidR="00BC428A" w:rsidRDefault="00BC428A" w:rsidP="00920F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26E"/>
    <w:multiLevelType w:val="multilevel"/>
    <w:tmpl w:val="67B89B9E"/>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 w15:restartNumberingAfterBreak="0">
    <w:nsid w:val="09B62C92"/>
    <w:multiLevelType w:val="hybridMultilevel"/>
    <w:tmpl w:val="499C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08EC"/>
    <w:multiLevelType w:val="multilevel"/>
    <w:tmpl w:val="EFAA0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A092C"/>
    <w:multiLevelType w:val="hybridMultilevel"/>
    <w:tmpl w:val="30D2378A"/>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4" w15:restartNumberingAfterBreak="0">
    <w:nsid w:val="14DF754E"/>
    <w:multiLevelType w:val="multilevel"/>
    <w:tmpl w:val="175A5A4C"/>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5" w15:restartNumberingAfterBreak="0">
    <w:nsid w:val="1A986A62"/>
    <w:multiLevelType w:val="multilevel"/>
    <w:tmpl w:val="F14ED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5925EE"/>
    <w:multiLevelType w:val="hybridMultilevel"/>
    <w:tmpl w:val="C8BC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64011"/>
    <w:multiLevelType w:val="hybridMultilevel"/>
    <w:tmpl w:val="B8F4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63893"/>
    <w:multiLevelType w:val="multilevel"/>
    <w:tmpl w:val="2ABCB21E"/>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9" w15:restartNumberingAfterBreak="0">
    <w:nsid w:val="5665258F"/>
    <w:multiLevelType w:val="multilevel"/>
    <w:tmpl w:val="26C0D886"/>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0" w15:restartNumberingAfterBreak="0">
    <w:nsid w:val="589923C5"/>
    <w:multiLevelType w:val="multilevel"/>
    <w:tmpl w:val="D28A8D6A"/>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1" w15:restartNumberingAfterBreak="0">
    <w:nsid w:val="59EB4348"/>
    <w:multiLevelType w:val="hybridMultilevel"/>
    <w:tmpl w:val="C016A7E2"/>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2" w15:restartNumberingAfterBreak="0">
    <w:nsid w:val="5DEF7655"/>
    <w:multiLevelType w:val="hybridMultilevel"/>
    <w:tmpl w:val="CB54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D7DD9"/>
    <w:multiLevelType w:val="multilevel"/>
    <w:tmpl w:val="96941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D278F2"/>
    <w:multiLevelType w:val="hybridMultilevel"/>
    <w:tmpl w:val="E92E234E"/>
    <w:lvl w:ilvl="0" w:tplc="46CEA7EC">
      <w:start w:val="1"/>
      <w:numFmt w:val="upperLetter"/>
      <w:lvlText w:val="%1."/>
      <w:lvlJc w:val="left"/>
      <w:pPr>
        <w:ind w:left="364" w:hanging="360"/>
      </w:pPr>
      <w:rPr>
        <w:rFonts w:hint="default"/>
      </w:rPr>
    </w:lvl>
    <w:lvl w:ilvl="1" w:tplc="D1DEE50A">
      <w:numFmt w:val="bullet"/>
      <w:lvlText w:val="•"/>
      <w:lvlJc w:val="left"/>
      <w:pPr>
        <w:ind w:left="1084" w:hanging="360"/>
      </w:pPr>
      <w:rPr>
        <w:rFonts w:ascii="Times New Roman" w:eastAsia="Times New Roman" w:hAnsi="Times New Roman" w:cs="Times New Roman" w:hint="default"/>
      </w:r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num w:numId="1">
    <w:abstractNumId w:val="2"/>
  </w:num>
  <w:num w:numId="2">
    <w:abstractNumId w:val="5"/>
  </w:num>
  <w:num w:numId="3">
    <w:abstractNumId w:val="13"/>
  </w:num>
  <w:num w:numId="4">
    <w:abstractNumId w:val="9"/>
  </w:num>
  <w:num w:numId="5">
    <w:abstractNumId w:val="4"/>
  </w:num>
  <w:num w:numId="6">
    <w:abstractNumId w:val="8"/>
  </w:num>
  <w:num w:numId="7">
    <w:abstractNumId w:val="10"/>
  </w:num>
  <w:num w:numId="8">
    <w:abstractNumId w:val="14"/>
  </w:num>
  <w:num w:numId="9">
    <w:abstractNumId w:val="6"/>
  </w:num>
  <w:num w:numId="10">
    <w:abstractNumId w:val="0"/>
  </w:num>
  <w:num w:numId="11">
    <w:abstractNumId w:val="12"/>
  </w:num>
  <w:num w:numId="12">
    <w:abstractNumId w:val="1"/>
  </w:num>
  <w:num w:numId="13">
    <w:abstractNumId w:val="3"/>
  </w:num>
  <w:num w:numId="14">
    <w:abstractNumId w:val="11"/>
  </w:num>
  <w:num w:numId="15">
    <w:abstractNumId w:val="7"/>
  </w:num>
  <w:num w:numId="16">
    <w:abstractNumId w:val="11"/>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59"/>
    <w:rsid w:val="00010859"/>
    <w:rsid w:val="00020F1F"/>
    <w:rsid w:val="00043E21"/>
    <w:rsid w:val="0004640E"/>
    <w:rsid w:val="000512C3"/>
    <w:rsid w:val="0007061D"/>
    <w:rsid w:val="000A0B4D"/>
    <w:rsid w:val="000A432F"/>
    <w:rsid w:val="000A5E3D"/>
    <w:rsid w:val="000B294E"/>
    <w:rsid w:val="000B47A5"/>
    <w:rsid w:val="000B521A"/>
    <w:rsid w:val="000D4FDA"/>
    <w:rsid w:val="000E3BC3"/>
    <w:rsid w:val="00104E2B"/>
    <w:rsid w:val="00137832"/>
    <w:rsid w:val="00150268"/>
    <w:rsid w:val="00166B7B"/>
    <w:rsid w:val="0017018C"/>
    <w:rsid w:val="00170EF8"/>
    <w:rsid w:val="00194A31"/>
    <w:rsid w:val="001A0FEF"/>
    <w:rsid w:val="001B596C"/>
    <w:rsid w:val="001C7F81"/>
    <w:rsid w:val="001E5274"/>
    <w:rsid w:val="001F360E"/>
    <w:rsid w:val="001F55E7"/>
    <w:rsid w:val="001F793A"/>
    <w:rsid w:val="00212E0D"/>
    <w:rsid w:val="002577E2"/>
    <w:rsid w:val="0028485E"/>
    <w:rsid w:val="002C48D8"/>
    <w:rsid w:val="002D0008"/>
    <w:rsid w:val="002D4D80"/>
    <w:rsid w:val="002E61B2"/>
    <w:rsid w:val="003117A0"/>
    <w:rsid w:val="003440C9"/>
    <w:rsid w:val="00351723"/>
    <w:rsid w:val="00365465"/>
    <w:rsid w:val="0036667B"/>
    <w:rsid w:val="00372CF2"/>
    <w:rsid w:val="00384247"/>
    <w:rsid w:val="00392ED6"/>
    <w:rsid w:val="003A0152"/>
    <w:rsid w:val="003A0985"/>
    <w:rsid w:val="003C6B6C"/>
    <w:rsid w:val="003E68DA"/>
    <w:rsid w:val="00412D8E"/>
    <w:rsid w:val="00435617"/>
    <w:rsid w:val="00452F13"/>
    <w:rsid w:val="00456E1A"/>
    <w:rsid w:val="0046776D"/>
    <w:rsid w:val="00493AD9"/>
    <w:rsid w:val="004B45CB"/>
    <w:rsid w:val="004E090F"/>
    <w:rsid w:val="004F2634"/>
    <w:rsid w:val="004F3E3E"/>
    <w:rsid w:val="005020EC"/>
    <w:rsid w:val="00511054"/>
    <w:rsid w:val="005120E0"/>
    <w:rsid w:val="00521036"/>
    <w:rsid w:val="00546F20"/>
    <w:rsid w:val="0055474C"/>
    <w:rsid w:val="00567257"/>
    <w:rsid w:val="00577F4B"/>
    <w:rsid w:val="005800BD"/>
    <w:rsid w:val="00584D29"/>
    <w:rsid w:val="005A4A30"/>
    <w:rsid w:val="005B40E9"/>
    <w:rsid w:val="005C5869"/>
    <w:rsid w:val="005D2732"/>
    <w:rsid w:val="005D6029"/>
    <w:rsid w:val="005E70E2"/>
    <w:rsid w:val="005F58F6"/>
    <w:rsid w:val="006067D8"/>
    <w:rsid w:val="006151DF"/>
    <w:rsid w:val="006354E6"/>
    <w:rsid w:val="00637B78"/>
    <w:rsid w:val="00646336"/>
    <w:rsid w:val="0067170B"/>
    <w:rsid w:val="00673E08"/>
    <w:rsid w:val="006A6F35"/>
    <w:rsid w:val="006C7307"/>
    <w:rsid w:val="006D14F3"/>
    <w:rsid w:val="00710022"/>
    <w:rsid w:val="007232AF"/>
    <w:rsid w:val="0072550C"/>
    <w:rsid w:val="00726F24"/>
    <w:rsid w:val="00736BCB"/>
    <w:rsid w:val="00741003"/>
    <w:rsid w:val="00772925"/>
    <w:rsid w:val="007E06E7"/>
    <w:rsid w:val="007E4CAD"/>
    <w:rsid w:val="008022F4"/>
    <w:rsid w:val="0081102D"/>
    <w:rsid w:val="00825494"/>
    <w:rsid w:val="00834749"/>
    <w:rsid w:val="00866299"/>
    <w:rsid w:val="008702D5"/>
    <w:rsid w:val="00882630"/>
    <w:rsid w:val="00885E79"/>
    <w:rsid w:val="00897022"/>
    <w:rsid w:val="008A23C9"/>
    <w:rsid w:val="008A429C"/>
    <w:rsid w:val="008B4ED0"/>
    <w:rsid w:val="008C0E36"/>
    <w:rsid w:val="008D3A47"/>
    <w:rsid w:val="008E1883"/>
    <w:rsid w:val="00920FAD"/>
    <w:rsid w:val="009256B7"/>
    <w:rsid w:val="009900FA"/>
    <w:rsid w:val="009B3BDA"/>
    <w:rsid w:val="009D5C96"/>
    <w:rsid w:val="00A22687"/>
    <w:rsid w:val="00A476B8"/>
    <w:rsid w:val="00A47C8A"/>
    <w:rsid w:val="00A607B4"/>
    <w:rsid w:val="00A641B8"/>
    <w:rsid w:val="00A95A75"/>
    <w:rsid w:val="00A95EB2"/>
    <w:rsid w:val="00AF6F38"/>
    <w:rsid w:val="00AF7917"/>
    <w:rsid w:val="00B00017"/>
    <w:rsid w:val="00B062F0"/>
    <w:rsid w:val="00B072C7"/>
    <w:rsid w:val="00B16BD0"/>
    <w:rsid w:val="00B209D4"/>
    <w:rsid w:val="00B21442"/>
    <w:rsid w:val="00B31B48"/>
    <w:rsid w:val="00B34CE2"/>
    <w:rsid w:val="00B44256"/>
    <w:rsid w:val="00B707C0"/>
    <w:rsid w:val="00B708B5"/>
    <w:rsid w:val="00B97BA4"/>
    <w:rsid w:val="00BA2CBC"/>
    <w:rsid w:val="00BC428A"/>
    <w:rsid w:val="00BD2A59"/>
    <w:rsid w:val="00BD2F80"/>
    <w:rsid w:val="00BE7FF4"/>
    <w:rsid w:val="00C05AC3"/>
    <w:rsid w:val="00C70859"/>
    <w:rsid w:val="00C713F5"/>
    <w:rsid w:val="00C94C24"/>
    <w:rsid w:val="00CA1318"/>
    <w:rsid w:val="00CB2131"/>
    <w:rsid w:val="00CD4AC6"/>
    <w:rsid w:val="00CF23A6"/>
    <w:rsid w:val="00D12A54"/>
    <w:rsid w:val="00D349BD"/>
    <w:rsid w:val="00D414E7"/>
    <w:rsid w:val="00D905CF"/>
    <w:rsid w:val="00D931EA"/>
    <w:rsid w:val="00DA64B9"/>
    <w:rsid w:val="00DE5DA9"/>
    <w:rsid w:val="00E31458"/>
    <w:rsid w:val="00E33A01"/>
    <w:rsid w:val="00E3510D"/>
    <w:rsid w:val="00E61E02"/>
    <w:rsid w:val="00E71BB7"/>
    <w:rsid w:val="00E959C5"/>
    <w:rsid w:val="00EA6D5D"/>
    <w:rsid w:val="00EC5E4D"/>
    <w:rsid w:val="00ED3416"/>
    <w:rsid w:val="00EF48C2"/>
    <w:rsid w:val="00F1253F"/>
    <w:rsid w:val="00F30EAC"/>
    <w:rsid w:val="00F37565"/>
    <w:rsid w:val="00F43442"/>
    <w:rsid w:val="00F94FE2"/>
    <w:rsid w:val="00FA00C5"/>
    <w:rsid w:val="00FA72B9"/>
    <w:rsid w:val="00FB0DA3"/>
    <w:rsid w:val="00FC6524"/>
    <w:rsid w:val="00FD3367"/>
    <w:rsid w:val="00FF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CCBD"/>
  <w15:chartTrackingRefBased/>
  <w15:docId w15:val="{091EFA5E-912E-4D10-BC35-CF6003A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59"/>
    <w:pPr>
      <w:spacing w:after="0" w:line="240" w:lineRule="auto"/>
    </w:pPr>
    <w:rPr>
      <w:rFonts w:ascii="Calibri" w:eastAsia="Calibri" w:hAnsi="Calibri" w:cs="Calibri"/>
      <w:sz w:val="20"/>
      <w:szCs w:val="20"/>
      <w:lang w:val="tr-TR" w:eastAsia="tr-TR"/>
    </w:rPr>
  </w:style>
  <w:style w:type="paragraph" w:styleId="Balk1">
    <w:name w:val="heading 1"/>
    <w:basedOn w:val="Normal"/>
    <w:link w:val="Balk1Char"/>
    <w:uiPriority w:val="9"/>
    <w:qFormat/>
    <w:rsid w:val="00392ED6"/>
    <w:pPr>
      <w:widowControl w:val="0"/>
      <w:autoSpaceDE w:val="0"/>
      <w:autoSpaceDN w:val="0"/>
      <w:ind w:left="200"/>
      <w:outlineLvl w:val="0"/>
    </w:pPr>
    <w:rPr>
      <w:rFonts w:ascii="Times New Roman" w:eastAsia="Times New Roman" w:hAnsi="Times New Roman" w:cs="Times New Roman"/>
      <w:b/>
      <w:bCs/>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0859"/>
    <w:pPr>
      <w:ind w:left="720"/>
      <w:contextualSpacing/>
    </w:pPr>
  </w:style>
  <w:style w:type="table" w:styleId="TabloKlavuzu">
    <w:name w:val="Table Grid"/>
    <w:basedOn w:val="NormalTablo"/>
    <w:uiPriority w:val="39"/>
    <w:rsid w:val="00010859"/>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20FAD"/>
    <w:rPr>
      <w:sz w:val="16"/>
      <w:szCs w:val="16"/>
    </w:rPr>
  </w:style>
  <w:style w:type="paragraph" w:styleId="AklamaMetni">
    <w:name w:val="annotation text"/>
    <w:basedOn w:val="Normal"/>
    <w:link w:val="AklamaMetniChar"/>
    <w:uiPriority w:val="99"/>
    <w:semiHidden/>
    <w:unhideWhenUsed/>
    <w:rsid w:val="00920FAD"/>
  </w:style>
  <w:style w:type="character" w:customStyle="1" w:styleId="AklamaMetniChar">
    <w:name w:val="Açıklama Metni Char"/>
    <w:basedOn w:val="VarsaylanParagrafYazTipi"/>
    <w:link w:val="AklamaMetni"/>
    <w:uiPriority w:val="99"/>
    <w:semiHidden/>
    <w:rsid w:val="00920FAD"/>
    <w:rPr>
      <w:rFonts w:ascii="Calibri" w:eastAsia="Calibri" w:hAnsi="Calibri" w:cs="Calibri"/>
      <w:sz w:val="20"/>
      <w:szCs w:val="20"/>
      <w:lang w:val="tr-TR" w:eastAsia="tr-TR"/>
    </w:rPr>
  </w:style>
  <w:style w:type="paragraph" w:styleId="AklamaKonusu">
    <w:name w:val="annotation subject"/>
    <w:basedOn w:val="AklamaMetni"/>
    <w:next w:val="AklamaMetni"/>
    <w:link w:val="AklamaKonusuChar"/>
    <w:uiPriority w:val="99"/>
    <w:semiHidden/>
    <w:unhideWhenUsed/>
    <w:rsid w:val="00920FAD"/>
    <w:rPr>
      <w:b/>
      <w:bCs/>
    </w:rPr>
  </w:style>
  <w:style w:type="character" w:customStyle="1" w:styleId="AklamaKonusuChar">
    <w:name w:val="Açıklama Konusu Char"/>
    <w:basedOn w:val="AklamaMetniChar"/>
    <w:link w:val="AklamaKonusu"/>
    <w:uiPriority w:val="99"/>
    <w:semiHidden/>
    <w:rsid w:val="00920FAD"/>
    <w:rPr>
      <w:rFonts w:ascii="Calibri" w:eastAsia="Calibri" w:hAnsi="Calibri" w:cs="Calibri"/>
      <w:b/>
      <w:bCs/>
      <w:sz w:val="20"/>
      <w:szCs w:val="20"/>
      <w:lang w:val="tr-TR" w:eastAsia="tr-TR"/>
    </w:rPr>
  </w:style>
  <w:style w:type="paragraph" w:styleId="Dzeltme">
    <w:name w:val="Revision"/>
    <w:hidden/>
    <w:uiPriority w:val="99"/>
    <w:semiHidden/>
    <w:rsid w:val="00E3510D"/>
    <w:pPr>
      <w:spacing w:after="0" w:line="240" w:lineRule="auto"/>
    </w:pPr>
    <w:rPr>
      <w:rFonts w:ascii="Calibri" w:eastAsia="Calibri" w:hAnsi="Calibri" w:cs="Calibri"/>
      <w:sz w:val="20"/>
      <w:szCs w:val="20"/>
      <w:lang w:val="tr-TR" w:eastAsia="tr-TR"/>
    </w:rPr>
  </w:style>
  <w:style w:type="paragraph" w:styleId="BalonMetni">
    <w:name w:val="Balloon Text"/>
    <w:basedOn w:val="Normal"/>
    <w:link w:val="BalonMetniChar"/>
    <w:uiPriority w:val="99"/>
    <w:semiHidden/>
    <w:unhideWhenUsed/>
    <w:rsid w:val="00CF23A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A6"/>
    <w:rPr>
      <w:rFonts w:ascii="Segoe UI" w:eastAsia="Calibri" w:hAnsi="Segoe UI" w:cs="Segoe UI"/>
      <w:sz w:val="18"/>
      <w:szCs w:val="18"/>
      <w:lang w:val="tr-TR" w:eastAsia="tr-TR"/>
    </w:rPr>
  </w:style>
  <w:style w:type="character" w:customStyle="1" w:styleId="Balk1Char">
    <w:name w:val="Başlık 1 Char"/>
    <w:basedOn w:val="VarsaylanParagrafYazTipi"/>
    <w:link w:val="Balk1"/>
    <w:uiPriority w:val="9"/>
    <w:rsid w:val="00392ED6"/>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392ED6"/>
    <w:pPr>
      <w:widowControl w:val="0"/>
      <w:autoSpaceDE w:val="0"/>
      <w:autoSpaceDN w:val="0"/>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392ED6"/>
    <w:rPr>
      <w:rFonts w:ascii="Times New Roman" w:eastAsia="Times New Roman" w:hAnsi="Times New Roman" w:cs="Times New Roman"/>
      <w:sz w:val="24"/>
      <w:szCs w:val="24"/>
      <w:lang w:val="tr-TR"/>
    </w:rPr>
  </w:style>
  <w:style w:type="paragraph" w:customStyle="1" w:styleId="TableParagraph">
    <w:name w:val="Table Paragraph"/>
    <w:basedOn w:val="Normal"/>
    <w:uiPriority w:val="1"/>
    <w:qFormat/>
    <w:rsid w:val="00392ED6"/>
    <w:pPr>
      <w:widowControl w:val="0"/>
      <w:autoSpaceDE w:val="0"/>
      <w:autoSpaceDN w:val="0"/>
    </w:pPr>
    <w:rPr>
      <w:rFonts w:ascii="Times New Roman" w:eastAsia="Times New Roman" w:hAnsi="Times New Roman" w:cs="Times New Roman"/>
      <w:sz w:val="22"/>
      <w:szCs w:val="22"/>
      <w:lang w:eastAsia="en-US"/>
    </w:rPr>
  </w:style>
  <w:style w:type="character" w:customStyle="1" w:styleId="allowtextselection">
    <w:name w:val="allowtextselection"/>
    <w:basedOn w:val="VarsaylanParagrafYazTipi"/>
    <w:rsid w:val="0039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3380">
      <w:bodyDiv w:val="1"/>
      <w:marLeft w:val="0"/>
      <w:marRight w:val="0"/>
      <w:marTop w:val="0"/>
      <w:marBottom w:val="0"/>
      <w:divBdr>
        <w:top w:val="none" w:sz="0" w:space="0" w:color="auto"/>
        <w:left w:val="none" w:sz="0" w:space="0" w:color="auto"/>
        <w:bottom w:val="none" w:sz="0" w:space="0" w:color="auto"/>
        <w:right w:val="none" w:sz="0" w:space="0" w:color="auto"/>
      </w:divBdr>
    </w:div>
    <w:div w:id="270551885">
      <w:bodyDiv w:val="1"/>
      <w:marLeft w:val="0"/>
      <w:marRight w:val="0"/>
      <w:marTop w:val="0"/>
      <w:marBottom w:val="0"/>
      <w:divBdr>
        <w:top w:val="none" w:sz="0" w:space="0" w:color="auto"/>
        <w:left w:val="none" w:sz="0" w:space="0" w:color="auto"/>
        <w:bottom w:val="none" w:sz="0" w:space="0" w:color="auto"/>
        <w:right w:val="none" w:sz="0" w:space="0" w:color="auto"/>
      </w:divBdr>
    </w:div>
    <w:div w:id="505242574">
      <w:bodyDiv w:val="1"/>
      <w:marLeft w:val="0"/>
      <w:marRight w:val="0"/>
      <w:marTop w:val="0"/>
      <w:marBottom w:val="0"/>
      <w:divBdr>
        <w:top w:val="none" w:sz="0" w:space="0" w:color="auto"/>
        <w:left w:val="none" w:sz="0" w:space="0" w:color="auto"/>
        <w:bottom w:val="none" w:sz="0" w:space="0" w:color="auto"/>
        <w:right w:val="none" w:sz="0" w:space="0" w:color="auto"/>
      </w:divBdr>
    </w:div>
    <w:div w:id="594637071">
      <w:bodyDiv w:val="1"/>
      <w:marLeft w:val="0"/>
      <w:marRight w:val="0"/>
      <w:marTop w:val="0"/>
      <w:marBottom w:val="0"/>
      <w:divBdr>
        <w:top w:val="none" w:sz="0" w:space="0" w:color="auto"/>
        <w:left w:val="none" w:sz="0" w:space="0" w:color="auto"/>
        <w:bottom w:val="none" w:sz="0" w:space="0" w:color="auto"/>
        <w:right w:val="none" w:sz="0" w:space="0" w:color="auto"/>
      </w:divBdr>
    </w:div>
    <w:div w:id="677193234">
      <w:bodyDiv w:val="1"/>
      <w:marLeft w:val="0"/>
      <w:marRight w:val="0"/>
      <w:marTop w:val="0"/>
      <w:marBottom w:val="0"/>
      <w:divBdr>
        <w:top w:val="none" w:sz="0" w:space="0" w:color="auto"/>
        <w:left w:val="none" w:sz="0" w:space="0" w:color="auto"/>
        <w:bottom w:val="none" w:sz="0" w:space="0" w:color="auto"/>
        <w:right w:val="none" w:sz="0" w:space="0" w:color="auto"/>
      </w:divBdr>
    </w:div>
    <w:div w:id="852182936">
      <w:bodyDiv w:val="1"/>
      <w:marLeft w:val="0"/>
      <w:marRight w:val="0"/>
      <w:marTop w:val="0"/>
      <w:marBottom w:val="0"/>
      <w:divBdr>
        <w:top w:val="none" w:sz="0" w:space="0" w:color="auto"/>
        <w:left w:val="none" w:sz="0" w:space="0" w:color="auto"/>
        <w:bottom w:val="none" w:sz="0" w:space="0" w:color="auto"/>
        <w:right w:val="none" w:sz="0" w:space="0" w:color="auto"/>
      </w:divBdr>
    </w:div>
    <w:div w:id="968507707">
      <w:bodyDiv w:val="1"/>
      <w:marLeft w:val="0"/>
      <w:marRight w:val="0"/>
      <w:marTop w:val="0"/>
      <w:marBottom w:val="0"/>
      <w:divBdr>
        <w:top w:val="none" w:sz="0" w:space="0" w:color="auto"/>
        <w:left w:val="none" w:sz="0" w:space="0" w:color="auto"/>
        <w:bottom w:val="none" w:sz="0" w:space="0" w:color="auto"/>
        <w:right w:val="none" w:sz="0" w:space="0" w:color="auto"/>
      </w:divBdr>
    </w:div>
    <w:div w:id="1035891725">
      <w:bodyDiv w:val="1"/>
      <w:marLeft w:val="0"/>
      <w:marRight w:val="0"/>
      <w:marTop w:val="0"/>
      <w:marBottom w:val="0"/>
      <w:divBdr>
        <w:top w:val="none" w:sz="0" w:space="0" w:color="auto"/>
        <w:left w:val="none" w:sz="0" w:space="0" w:color="auto"/>
        <w:bottom w:val="none" w:sz="0" w:space="0" w:color="auto"/>
        <w:right w:val="none" w:sz="0" w:space="0" w:color="auto"/>
      </w:divBdr>
    </w:div>
    <w:div w:id="1137643910">
      <w:bodyDiv w:val="1"/>
      <w:marLeft w:val="0"/>
      <w:marRight w:val="0"/>
      <w:marTop w:val="0"/>
      <w:marBottom w:val="0"/>
      <w:divBdr>
        <w:top w:val="none" w:sz="0" w:space="0" w:color="auto"/>
        <w:left w:val="none" w:sz="0" w:space="0" w:color="auto"/>
        <w:bottom w:val="none" w:sz="0" w:space="0" w:color="auto"/>
        <w:right w:val="none" w:sz="0" w:space="0" w:color="auto"/>
      </w:divBdr>
    </w:div>
    <w:div w:id="1159809782">
      <w:bodyDiv w:val="1"/>
      <w:marLeft w:val="0"/>
      <w:marRight w:val="0"/>
      <w:marTop w:val="0"/>
      <w:marBottom w:val="0"/>
      <w:divBdr>
        <w:top w:val="none" w:sz="0" w:space="0" w:color="auto"/>
        <w:left w:val="none" w:sz="0" w:space="0" w:color="auto"/>
        <w:bottom w:val="none" w:sz="0" w:space="0" w:color="auto"/>
        <w:right w:val="none" w:sz="0" w:space="0" w:color="auto"/>
      </w:divBdr>
    </w:div>
    <w:div w:id="1200359348">
      <w:bodyDiv w:val="1"/>
      <w:marLeft w:val="0"/>
      <w:marRight w:val="0"/>
      <w:marTop w:val="0"/>
      <w:marBottom w:val="0"/>
      <w:divBdr>
        <w:top w:val="none" w:sz="0" w:space="0" w:color="auto"/>
        <w:left w:val="none" w:sz="0" w:space="0" w:color="auto"/>
        <w:bottom w:val="none" w:sz="0" w:space="0" w:color="auto"/>
        <w:right w:val="none" w:sz="0" w:space="0" w:color="auto"/>
      </w:divBdr>
    </w:div>
    <w:div w:id="1378580207">
      <w:bodyDiv w:val="1"/>
      <w:marLeft w:val="0"/>
      <w:marRight w:val="0"/>
      <w:marTop w:val="0"/>
      <w:marBottom w:val="0"/>
      <w:divBdr>
        <w:top w:val="none" w:sz="0" w:space="0" w:color="auto"/>
        <w:left w:val="none" w:sz="0" w:space="0" w:color="auto"/>
        <w:bottom w:val="none" w:sz="0" w:space="0" w:color="auto"/>
        <w:right w:val="none" w:sz="0" w:space="0" w:color="auto"/>
      </w:divBdr>
    </w:div>
    <w:div w:id="1601836813">
      <w:bodyDiv w:val="1"/>
      <w:marLeft w:val="0"/>
      <w:marRight w:val="0"/>
      <w:marTop w:val="0"/>
      <w:marBottom w:val="0"/>
      <w:divBdr>
        <w:top w:val="none" w:sz="0" w:space="0" w:color="auto"/>
        <w:left w:val="none" w:sz="0" w:space="0" w:color="auto"/>
        <w:bottom w:val="none" w:sz="0" w:space="0" w:color="auto"/>
        <w:right w:val="none" w:sz="0" w:space="0" w:color="auto"/>
      </w:divBdr>
    </w:div>
    <w:div w:id="1641956825">
      <w:bodyDiv w:val="1"/>
      <w:marLeft w:val="0"/>
      <w:marRight w:val="0"/>
      <w:marTop w:val="0"/>
      <w:marBottom w:val="0"/>
      <w:divBdr>
        <w:top w:val="none" w:sz="0" w:space="0" w:color="auto"/>
        <w:left w:val="none" w:sz="0" w:space="0" w:color="auto"/>
        <w:bottom w:val="none" w:sz="0" w:space="0" w:color="auto"/>
        <w:right w:val="none" w:sz="0" w:space="0" w:color="auto"/>
      </w:divBdr>
    </w:div>
    <w:div w:id="1780445546">
      <w:bodyDiv w:val="1"/>
      <w:marLeft w:val="0"/>
      <w:marRight w:val="0"/>
      <w:marTop w:val="0"/>
      <w:marBottom w:val="0"/>
      <w:divBdr>
        <w:top w:val="none" w:sz="0" w:space="0" w:color="auto"/>
        <w:left w:val="none" w:sz="0" w:space="0" w:color="auto"/>
        <w:bottom w:val="none" w:sz="0" w:space="0" w:color="auto"/>
        <w:right w:val="none" w:sz="0" w:space="0" w:color="auto"/>
      </w:divBdr>
    </w:div>
    <w:div w:id="1827211397">
      <w:bodyDiv w:val="1"/>
      <w:marLeft w:val="0"/>
      <w:marRight w:val="0"/>
      <w:marTop w:val="0"/>
      <w:marBottom w:val="0"/>
      <w:divBdr>
        <w:top w:val="none" w:sz="0" w:space="0" w:color="auto"/>
        <w:left w:val="none" w:sz="0" w:space="0" w:color="auto"/>
        <w:bottom w:val="none" w:sz="0" w:space="0" w:color="auto"/>
        <w:right w:val="none" w:sz="0" w:space="0" w:color="auto"/>
      </w:divBdr>
    </w:div>
    <w:div w:id="1912881968">
      <w:bodyDiv w:val="1"/>
      <w:marLeft w:val="0"/>
      <w:marRight w:val="0"/>
      <w:marTop w:val="0"/>
      <w:marBottom w:val="0"/>
      <w:divBdr>
        <w:top w:val="none" w:sz="0" w:space="0" w:color="auto"/>
        <w:left w:val="none" w:sz="0" w:space="0" w:color="auto"/>
        <w:bottom w:val="none" w:sz="0" w:space="0" w:color="auto"/>
        <w:right w:val="none" w:sz="0" w:space="0" w:color="auto"/>
      </w:divBdr>
    </w:div>
    <w:div w:id="1950233698">
      <w:bodyDiv w:val="1"/>
      <w:marLeft w:val="0"/>
      <w:marRight w:val="0"/>
      <w:marTop w:val="0"/>
      <w:marBottom w:val="0"/>
      <w:divBdr>
        <w:top w:val="none" w:sz="0" w:space="0" w:color="auto"/>
        <w:left w:val="none" w:sz="0" w:space="0" w:color="auto"/>
        <w:bottom w:val="none" w:sz="0" w:space="0" w:color="auto"/>
        <w:right w:val="none" w:sz="0" w:space="0" w:color="auto"/>
      </w:divBdr>
    </w:div>
    <w:div w:id="20660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m@ogm.hs01.kep.t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F2841E83D475242921C99252B18F525" ma:contentTypeVersion="1" ma:contentTypeDescription="Upload an image." ma:contentTypeScope="" ma:versionID="d9aec7060256ecdda63473689fcdce4e">
  <xsd:schema xmlns:xsd="http://www.w3.org/2001/XMLSchema" xmlns:xs="http://www.w3.org/2001/XMLSchema" xmlns:p="http://schemas.microsoft.com/office/2006/metadata/properties" xmlns:ns1="http://schemas.microsoft.com/sharepoint/v3" xmlns:ns2="4635AA89-3F55-48B8-8F1F-D6377FED6EE8" xmlns:ns3="http://schemas.microsoft.com/sharepoint/v3/fields" targetNamespace="http://schemas.microsoft.com/office/2006/metadata/properties" ma:root="true" ma:fieldsID="c068cc0c4d9bd45691693fd79d2ed507" ns1:_="" ns2:_="" ns3:_="">
    <xsd:import namespace="http://schemas.microsoft.com/sharepoint/v3"/>
    <xsd:import namespace="4635AA89-3F55-48B8-8F1F-D6377FED6EE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5AA89-3F55-48B8-8F1F-D6377FED6EE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4635AA89-3F55-48B8-8F1F-D6377FED6EE8"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E28CA10-1AB2-4305-8712-19A9F9F761EF}"/>
</file>

<file path=customXml/itemProps2.xml><?xml version="1.0" encoding="utf-8"?>
<ds:datastoreItem xmlns:ds="http://schemas.openxmlformats.org/officeDocument/2006/customXml" ds:itemID="{51692EC8-7A9E-4D4D-AD01-1FB9CF4D70BF}"/>
</file>

<file path=customXml/itemProps3.xml><?xml version="1.0" encoding="utf-8"?>
<ds:datastoreItem xmlns:ds="http://schemas.openxmlformats.org/officeDocument/2006/customXml" ds:itemID="{EE2C0948-1A6B-4106-B1FF-F378B3097727}"/>
</file>

<file path=customXml/itemProps4.xml><?xml version="1.0" encoding="utf-8"?>
<ds:datastoreItem xmlns:ds="http://schemas.openxmlformats.org/officeDocument/2006/customXml" ds:itemID="{8C0001FF-28EB-4029-B688-4C4B7A396513}"/>
</file>

<file path=docProps/app.xml><?xml version="1.0" encoding="utf-8"?>
<Properties xmlns="http://schemas.openxmlformats.org/officeDocument/2006/extended-properties" xmlns:vt="http://schemas.openxmlformats.org/officeDocument/2006/docPropsVTypes">
  <Template>Normal</Template>
  <TotalTime>173</TotalTime>
  <Pages>8</Pages>
  <Words>3463</Words>
  <Characters>19741</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Sürmeli</dc:creator>
  <cp:keywords/>
  <dc:description/>
  <cp:lastModifiedBy>İbrahim ERGÜVEN Şube Müdürü</cp:lastModifiedBy>
  <cp:revision>96</cp:revision>
  <dcterms:created xsi:type="dcterms:W3CDTF">2021-12-18T10:42:00Z</dcterms:created>
  <dcterms:modified xsi:type="dcterms:W3CDTF">2022-04-29T12:44:00Z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0x0101009148F5A04DDD49CBA7127AADA5FB792B00AADE34325A8B49CDA8BB4DB53328F21400EF2841E83D475242921C99252B18F525</vt:lpwstr>
  </property>
</Properties>
</file>